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FFD" w:rsidRDefault="00B57E27">
      <w:r>
        <w:rPr>
          <w:noProof/>
          <w:lang w:eastAsia="fr-FR"/>
        </w:rPr>
        <w:drawing>
          <wp:inline distT="0" distB="0" distL="0" distR="0" wp14:anchorId="4EE1D071" wp14:editId="480662B5">
            <wp:extent cx="3228975" cy="1981200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4F4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27"/>
    <w:rsid w:val="00511E93"/>
    <w:rsid w:val="00B57E27"/>
    <w:rsid w:val="00DB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66729-182E-4639-8A3E-40ED633DB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Feuille_de_calcul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00"/>
            </a:pPr>
            <a:r>
              <a:rPr lang="en-US" sz="800"/>
              <a:t>Prix et stock mondiaux de nickel</a:t>
            </a:r>
          </a:p>
        </c:rich>
      </c:tx>
      <c:layout>
        <c:manualLayout>
          <c:xMode val="edge"/>
          <c:yMode val="edge"/>
          <c:x val="0.32999295442052046"/>
          <c:y val="6.520795477488390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9957059015691708"/>
          <c:y val="0.15159059829059829"/>
          <c:w val="0.69444380611221879"/>
          <c:h val="0.6441367597172396"/>
        </c:manualLayout>
      </c:layout>
      <c:lineChart>
        <c:grouping val="standard"/>
        <c:varyColors val="0"/>
        <c:ser>
          <c:idx val="0"/>
          <c:order val="1"/>
          <c:tx>
            <c:strRef>
              <c:f>'Données brutes transposées'!$A$35</c:f>
              <c:strCache>
                <c:ptCount val="1"/>
                <c:pt idx="0">
                  <c:v>Cours moyen du nickel (en $/lb)</c:v>
                </c:pt>
              </c:strCache>
            </c:strRef>
          </c:tx>
          <c:spPr>
            <a:ln w="25400" cap="flat" cmpd="sng" algn="ctr">
              <a:solidFill>
                <a:srgbClr val="96CCEE"/>
              </a:solidFill>
              <a:prstDash val="solid"/>
            </a:ln>
            <a:effectLst/>
          </c:spPr>
          <c:marker>
            <c:symbol val="none"/>
          </c:marker>
          <c:cat>
            <c:numRef>
              <c:f>'Données brutes transposées'!$AG$1:$BE$1</c:f>
              <c:numCache>
                <c:formatCode>General</c:formatCode>
                <c:ptCount val="25"/>
                <c:pt idx="2">
                  <c:v>2015</c:v>
                </c:pt>
                <c:pt idx="6">
                  <c:v>2016</c:v>
                </c:pt>
                <c:pt idx="10">
                  <c:v>2017</c:v>
                </c:pt>
                <c:pt idx="14">
                  <c:v>2018</c:v>
                </c:pt>
                <c:pt idx="18">
                  <c:v>2019</c:v>
                </c:pt>
                <c:pt idx="22">
                  <c:v>2020</c:v>
                </c:pt>
              </c:numCache>
            </c:numRef>
          </c:cat>
          <c:val>
            <c:numRef>
              <c:f>'Données brutes transposées'!$AG$35:$BE$35</c:f>
              <c:numCache>
                <c:formatCode>0.00</c:formatCode>
                <c:ptCount val="25"/>
                <c:pt idx="0">
                  <c:v>7.1622590301850302</c:v>
                </c:pt>
                <c:pt idx="1">
                  <c:v>6.5002307222812457</c:v>
                </c:pt>
                <c:pt idx="2">
                  <c:v>5.8972213842784713</c:v>
                </c:pt>
                <c:pt idx="3">
                  <c:v>4.7869347866544647</c:v>
                </c:pt>
                <c:pt idx="4" formatCode="General">
                  <c:v>3.2367148123601304</c:v>
                </c:pt>
                <c:pt idx="5">
                  <c:v>3.163139848602742</c:v>
                </c:pt>
                <c:pt idx="6" formatCode="General">
                  <c:v>3.9972249955266954</c:v>
                </c:pt>
                <c:pt idx="7" formatCode="General">
                  <c:v>4.6555094363636371</c:v>
                </c:pt>
                <c:pt idx="8" formatCode="General">
                  <c:v>4.9020118253968255</c:v>
                </c:pt>
                <c:pt idx="9" formatCode="General">
                  <c:v>4.6572935122291028</c:v>
                </c:pt>
                <c:pt idx="10" formatCode="General">
                  <c:v>4.193664341150118</c:v>
                </c:pt>
                <c:pt idx="11" formatCode="General">
                  <c:v>4.7714244222299618</c:v>
                </c:pt>
                <c:pt idx="12" formatCode="General">
                  <c:v>5.2488505060960398</c:v>
                </c:pt>
                <c:pt idx="13" formatCode="General">
                  <c:v>6.0249971479675821</c:v>
                </c:pt>
                <c:pt idx="14" formatCode="General">
                  <c:v>6.5603731112058918</c:v>
                </c:pt>
                <c:pt idx="15" formatCode="General">
                  <c:v>6.0056850271760522</c:v>
                </c:pt>
                <c:pt idx="16" formatCode="General">
                  <c:v>5.2032189355089677</c:v>
                </c:pt>
                <c:pt idx="17" formatCode="General">
                  <c:v>5.6177037587597383</c:v>
                </c:pt>
                <c:pt idx="18" formatCode="General">
                  <c:v>5.5606645176669538</c:v>
                </c:pt>
                <c:pt idx="19" formatCode="General">
                  <c:v>7.0766579277559787</c:v>
                </c:pt>
                <c:pt idx="20" formatCode="General">
                  <c:v>6.9701801417923717</c:v>
                </c:pt>
                <c:pt idx="21" formatCode="General">
                  <c:v>5.7695921893086508</c:v>
                </c:pt>
                <c:pt idx="22" formatCode="General">
                  <c:v>5.5325856377111142</c:v>
                </c:pt>
                <c:pt idx="23" formatCode="General">
                  <c:v>6.4552953417061048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91D-42A6-9B83-93768899A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1407360"/>
        <c:axId val="441408896"/>
      </c:lineChart>
      <c:lineChart>
        <c:grouping val="standard"/>
        <c:varyColors val="0"/>
        <c:ser>
          <c:idx val="1"/>
          <c:order val="0"/>
          <c:tx>
            <c:v>Stocks mondiaux de nickel (échelle de droite)</c:v>
          </c:tx>
          <c:spPr>
            <a:ln>
              <a:solidFill>
                <a:srgbClr val="102466"/>
              </a:solidFill>
            </a:ln>
          </c:spPr>
          <c:marker>
            <c:symbol val="none"/>
          </c:marker>
          <c:cat>
            <c:numRef>
              <c:f>'Données brutes transposées'!$AG$1:$BE$1</c:f>
              <c:numCache>
                <c:formatCode>General</c:formatCode>
                <c:ptCount val="25"/>
                <c:pt idx="2">
                  <c:v>2015</c:v>
                </c:pt>
                <c:pt idx="6">
                  <c:v>2016</c:v>
                </c:pt>
                <c:pt idx="10">
                  <c:v>2017</c:v>
                </c:pt>
                <c:pt idx="14">
                  <c:v>2018</c:v>
                </c:pt>
                <c:pt idx="18">
                  <c:v>2019</c:v>
                </c:pt>
                <c:pt idx="22">
                  <c:v>2020</c:v>
                </c:pt>
              </c:numCache>
            </c:numRef>
          </c:cat>
          <c:val>
            <c:numRef>
              <c:f>'Données brutes transposées'!$AG$37:$BE$37</c:f>
              <c:numCache>
                <c:formatCode>#,##0</c:formatCode>
                <c:ptCount val="25"/>
                <c:pt idx="0">
                  <c:v>390695.90625</c:v>
                </c:pt>
                <c:pt idx="1">
                  <c:v>425761.33333333331</c:v>
                </c:pt>
                <c:pt idx="2">
                  <c:v>449693.80327868852</c:v>
                </c:pt>
                <c:pt idx="3">
                  <c:v>454282.61538461538</c:v>
                </c:pt>
                <c:pt idx="4" formatCode="General">
                  <c:v>425643.09375</c:v>
                </c:pt>
                <c:pt idx="5" formatCode="0">
                  <c:v>438413.61290322582</c:v>
                </c:pt>
                <c:pt idx="6" formatCode="General">
                  <c:v>406641.23809523811</c:v>
                </c:pt>
                <c:pt idx="7" formatCode="General">
                  <c:v>371089.4769230769</c:v>
                </c:pt>
                <c:pt idx="8" formatCode="General">
                  <c:v>365742</c:v>
                </c:pt>
                <c:pt idx="9" formatCode="General">
                  <c:v>379337.90625</c:v>
                </c:pt>
                <c:pt idx="10" formatCode="General">
                  <c:v>377895.54098360654</c:v>
                </c:pt>
                <c:pt idx="11" formatCode="General">
                  <c:v>379745.71428571426</c:v>
                </c:pt>
                <c:pt idx="12" formatCode="General">
                  <c:v>380701.71428571426</c:v>
                </c:pt>
                <c:pt idx="13" formatCode="General">
                  <c:v>343820.47619047621</c:v>
                </c:pt>
                <c:pt idx="14" formatCode="General">
                  <c:v>298022.79047619045</c:v>
                </c:pt>
                <c:pt idx="15" formatCode="General">
                  <c:v>247187.49090909088</c:v>
                </c:pt>
                <c:pt idx="16" formatCode="General">
                  <c:v>215976.43478260867</c:v>
                </c:pt>
                <c:pt idx="17" formatCode="General">
                  <c:v>197335.14285714287</c:v>
                </c:pt>
                <c:pt idx="18" formatCode="General">
                  <c:v>169656.68852459016</c:v>
                </c:pt>
                <c:pt idx="19" formatCode="General">
                  <c:v>151323.32307692309</c:v>
                </c:pt>
                <c:pt idx="20" formatCode="General">
                  <c:v>92176.5</c:v>
                </c:pt>
                <c:pt idx="21" formatCode="General">
                  <c:v>210153.5625</c:v>
                </c:pt>
                <c:pt idx="22" formatCode="General">
                  <c:v>232135.47272727275</c:v>
                </c:pt>
                <c:pt idx="23" formatCode="General">
                  <c:v>236366.91185770751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1D-42A6-9B83-93768899A4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41424896"/>
        <c:axId val="441422976"/>
      </c:lineChart>
      <c:catAx>
        <c:axId val="441407360"/>
        <c:scaling>
          <c:orientation val="minMax"/>
        </c:scaling>
        <c:delete val="0"/>
        <c:axPos val="b"/>
        <c:majorGridlines>
          <c:spPr>
            <a:ln>
              <a:prstDash val="solid"/>
            </a:ln>
          </c:spPr>
        </c:majorGridlines>
        <c:numFmt formatCode="General" sourceLinked="0"/>
        <c:majorTickMark val="out"/>
        <c:minorTickMark val="none"/>
        <c:tickLblPos val="low"/>
        <c:spPr>
          <a:ln>
            <a:prstDash val="solid"/>
          </a:ln>
        </c:spPr>
        <c:txPr>
          <a:bodyPr rot="0" vert="horz"/>
          <a:lstStyle/>
          <a:p>
            <a:pPr>
              <a:defRPr/>
            </a:pPr>
            <a:endParaRPr lang="fr-FR"/>
          </a:p>
        </c:txPr>
        <c:crossAx val="441408896"/>
        <c:crosses val="autoZero"/>
        <c:auto val="1"/>
        <c:lblAlgn val="ctr"/>
        <c:lblOffset val="100"/>
        <c:tickMarkSkip val="4"/>
        <c:noMultiLvlLbl val="0"/>
      </c:catAx>
      <c:valAx>
        <c:axId val="441408896"/>
        <c:scaling>
          <c:orientation val="minMax"/>
        </c:scaling>
        <c:delete val="0"/>
        <c:axPos val="l"/>
        <c:majorGridlines>
          <c:spPr>
            <a:ln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crossAx val="441407360"/>
        <c:crosses val="autoZero"/>
        <c:crossBetween val="midCat"/>
        <c:majorUnit val="2"/>
      </c:valAx>
      <c:valAx>
        <c:axId val="441422976"/>
        <c:scaling>
          <c:orientation val="minMax"/>
          <c:max val="480000"/>
          <c:min val="0"/>
        </c:scaling>
        <c:delete val="0"/>
        <c:axPos val="r"/>
        <c:numFmt formatCode="#,##0" sourceLinked="1"/>
        <c:majorTickMark val="cross"/>
        <c:minorTickMark val="none"/>
        <c:tickLblPos val="nextTo"/>
        <c:spPr>
          <a:ln>
            <a:noFill/>
          </a:ln>
        </c:spPr>
        <c:crossAx val="441424896"/>
        <c:crosses val="max"/>
        <c:crossBetween val="between"/>
        <c:majorUnit val="120000"/>
        <c:dispUnits>
          <c:builtInUnit val="thousands"/>
          <c:dispUnitsLbl>
            <c:layout>
              <c:manualLayout>
                <c:xMode val="edge"/>
                <c:yMode val="edge"/>
                <c:x val="0.78444887522106954"/>
                <c:y val="5.963871140201412E-2"/>
              </c:manualLayout>
            </c:layout>
            <c:tx>
              <c:rich>
                <a:bodyPr rot="0" vert="horz"/>
                <a:lstStyle/>
                <a:p>
                  <a:pPr>
                    <a:defRPr/>
                  </a:pPr>
                  <a:r>
                    <a:rPr lang="fr-FR"/>
                    <a:t>Milliers de tonnes</a:t>
                  </a:r>
                </a:p>
              </c:rich>
            </c:tx>
          </c:dispUnitsLbl>
        </c:dispUnits>
      </c:valAx>
      <c:catAx>
        <c:axId val="441424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one"/>
        <c:crossAx val="441422976"/>
        <c:crosses val="autoZero"/>
        <c:auto val="1"/>
        <c:lblAlgn val="ctr"/>
        <c:lblOffset val="100"/>
        <c:noMultiLvlLbl val="0"/>
      </c:catAx>
    </c:plotArea>
    <c:legend>
      <c:legendPos val="b"/>
      <c:layout>
        <c:manualLayout>
          <c:xMode val="edge"/>
          <c:yMode val="edge"/>
          <c:x val="7.905109206481932E-2"/>
          <c:y val="0.88961841308298018"/>
          <c:w val="0.91789273352783085"/>
          <c:h val="0.10630395158938466"/>
        </c:manualLayout>
      </c:layout>
      <c:overlay val="0"/>
    </c:legend>
    <c:plotVisOnly val="1"/>
    <c:dispBlanksAs val="gap"/>
    <c:showDLblsOverMax val="0"/>
  </c:chart>
  <c:spPr>
    <a:solidFill>
      <a:sysClr val="window" lastClr="FFFFFF"/>
    </a:solidFill>
    <a:ln>
      <a:noFill/>
    </a:ln>
  </c:spPr>
  <c:txPr>
    <a:bodyPr/>
    <a:lstStyle/>
    <a:p>
      <a:pPr>
        <a:defRPr sz="700">
          <a:latin typeface="Tahoma" pitchFamily="34" charset="0"/>
          <a:cs typeface="Tahoma" pitchFamily="34" charset="0"/>
        </a:defRPr>
      </a:pPr>
      <a:endParaRPr lang="fr-FR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0.93028</cdr:y>
    </cdr:from>
    <cdr:to>
      <cdr:x>0.80952</cdr:x>
      <cdr:y>0.99234</cdr:y>
    </cdr:to>
    <cdr:sp macro="" textlink="">
      <cdr:nvSpPr>
        <cdr:cNvPr id="2" name="ZoneTexte 1"/>
        <cdr:cNvSpPr txBox="1"/>
      </cdr:nvSpPr>
      <cdr:spPr>
        <a:xfrm xmlns:a="http://schemas.openxmlformats.org/drawingml/2006/main">
          <a:off x="0" y="2312699"/>
          <a:ext cx="3400426" cy="1542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700" i="1">
              <a:latin typeface="Tahoma" pitchFamily="34" charset="0"/>
              <a:cs typeface="Tahoma" pitchFamily="34" charset="0"/>
            </a:rPr>
            <a:t>Source :</a:t>
          </a:r>
          <a:r>
            <a:rPr lang="fr-FR" sz="700" i="1" baseline="0">
              <a:latin typeface="Tahoma" pitchFamily="34" charset="0"/>
              <a:cs typeface="Tahoma" pitchFamily="34" charset="0"/>
            </a:rPr>
            <a:t> LME</a:t>
          </a:r>
          <a:endParaRPr lang="fr-FR" sz="700" i="1">
            <a:latin typeface="Tahoma" pitchFamily="34" charset="0"/>
            <a:cs typeface="Tahoma" pitchFamily="34" charset="0"/>
          </a:endParaRPr>
        </a:p>
      </cdr:txBody>
    </cdr:sp>
  </cdr:relSizeAnchor>
  <cdr:relSizeAnchor xmlns:cdr="http://schemas.openxmlformats.org/drawingml/2006/chartDrawing">
    <cdr:from>
      <cdr:x>0.13144</cdr:x>
      <cdr:y>0.15534</cdr:y>
    </cdr:from>
    <cdr:to>
      <cdr:x>0.13144</cdr:x>
      <cdr:y>0.78377</cdr:y>
    </cdr:to>
    <cdr:sp macro="" textlink="">
      <cdr:nvSpPr>
        <cdr:cNvPr id="6" name="Connecteur droit 5"/>
        <cdr:cNvSpPr/>
      </cdr:nvSpPr>
      <cdr:spPr>
        <a:xfrm xmlns:a="http://schemas.openxmlformats.org/drawingml/2006/main">
          <a:off x="583407" y="364938"/>
          <a:ext cx="0" cy="1476375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chemeClr val="bg1">
              <a:lumMod val="6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0.03877</cdr:y>
    </cdr:from>
    <cdr:to>
      <cdr:x>0.34561</cdr:x>
      <cdr:y>0.26177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-4038600" y="76811"/>
          <a:ext cx="1115963" cy="4418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marL="0" marR="0" indent="0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fr-FR" sz="700" b="1" i="0" baseline="0">
              <a:latin typeface="Tahoma" pitchFamily="34" charset="0"/>
              <a:ea typeface="Tahoma" pitchFamily="34" charset="0"/>
              <a:cs typeface="Tahoma" pitchFamily="34" charset="0"/>
            </a:rPr>
            <a:t>US $/ktonne US $/lb</a:t>
          </a:r>
          <a:endParaRPr lang="fr-FR" sz="700">
            <a:latin typeface="Tahoma" pitchFamily="34" charset="0"/>
            <a:ea typeface="Tahoma" pitchFamily="34" charset="0"/>
            <a:cs typeface="Tahoma" pitchFamily="34" charset="0"/>
          </a:endParaRPr>
        </a:p>
        <a:p xmlns:a="http://schemas.openxmlformats.org/drawingml/2006/main">
          <a:endParaRPr lang="fr-FR" sz="1100"/>
        </a:p>
      </cdr:txBody>
    </cdr:sp>
  </cdr:relSizeAnchor>
  <cdr:relSizeAnchor xmlns:cdr="http://schemas.openxmlformats.org/drawingml/2006/chartDrawing">
    <cdr:from>
      <cdr:x>0.03436</cdr:x>
      <cdr:y>0.09994</cdr:y>
    </cdr:from>
    <cdr:to>
      <cdr:x>0.15276</cdr:x>
      <cdr:y>0.86977</cdr:y>
    </cdr:to>
    <cdr:sp macro="" textlink="">
      <cdr:nvSpPr>
        <cdr:cNvPr id="9" name="ZoneTexte 8"/>
        <cdr:cNvSpPr txBox="1"/>
      </cdr:nvSpPr>
      <cdr:spPr>
        <a:xfrm xmlns:a="http://schemas.openxmlformats.org/drawingml/2006/main">
          <a:off x="111267" y="201815"/>
          <a:ext cx="383439" cy="155451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fr-FR" sz="700">
              <a:latin typeface="Tahoma" pitchFamily="34" charset="0"/>
              <a:ea typeface="Tahoma" pitchFamily="34" charset="0"/>
              <a:cs typeface="Tahoma" pitchFamily="34" charset="0"/>
            </a:rPr>
            <a:t>17,6</a:t>
          </a:r>
        </a:p>
        <a:p xmlns:a="http://schemas.openxmlformats.org/drawingml/2006/main">
          <a:endParaRPr lang="fr-FR" sz="1300">
            <a:latin typeface="Tahoma" pitchFamily="34" charset="0"/>
            <a:ea typeface="Tahoma" pitchFamily="34" charset="0"/>
            <a:cs typeface="Tahoma" pitchFamily="34" charset="0"/>
          </a:endParaRPr>
        </a:p>
        <a:p xmlns:a="http://schemas.openxmlformats.org/drawingml/2006/main">
          <a:r>
            <a:rPr lang="fr-FR" sz="700">
              <a:latin typeface="Tahoma" pitchFamily="34" charset="0"/>
              <a:ea typeface="Tahoma" pitchFamily="34" charset="0"/>
              <a:cs typeface="Tahoma" pitchFamily="34" charset="0"/>
            </a:rPr>
            <a:t>13,2</a:t>
          </a:r>
        </a:p>
        <a:p xmlns:a="http://schemas.openxmlformats.org/drawingml/2006/main">
          <a:endParaRPr lang="fr-FR" sz="700">
            <a:latin typeface="Tahoma" pitchFamily="34" charset="0"/>
            <a:ea typeface="Tahoma" pitchFamily="34" charset="0"/>
            <a:cs typeface="Tahoma" pitchFamily="34" charset="0"/>
          </a:endParaRPr>
        </a:p>
        <a:p xmlns:a="http://schemas.openxmlformats.org/drawingml/2006/main">
          <a:endParaRPr lang="fr-FR" sz="400">
            <a:latin typeface="Tahoma" pitchFamily="34" charset="0"/>
            <a:ea typeface="Tahoma" pitchFamily="34" charset="0"/>
            <a:cs typeface="Tahoma" pitchFamily="34" charset="0"/>
          </a:endParaRPr>
        </a:p>
        <a:p xmlns:a="http://schemas.openxmlformats.org/drawingml/2006/main">
          <a:endParaRPr lang="fr-FR" sz="400">
            <a:latin typeface="Tahoma" pitchFamily="34" charset="0"/>
            <a:ea typeface="Tahoma" pitchFamily="34" charset="0"/>
            <a:cs typeface="Tahoma" pitchFamily="34" charset="0"/>
          </a:endParaRPr>
        </a:p>
        <a:p xmlns:a="http://schemas.openxmlformats.org/drawingml/2006/main">
          <a:r>
            <a:rPr lang="fr-FR" sz="700">
              <a:latin typeface="Tahoma" pitchFamily="34" charset="0"/>
              <a:ea typeface="Tahoma" pitchFamily="34" charset="0"/>
              <a:cs typeface="Tahoma" pitchFamily="34" charset="0"/>
            </a:rPr>
            <a:t>8,8</a:t>
          </a:r>
        </a:p>
        <a:p xmlns:a="http://schemas.openxmlformats.org/drawingml/2006/main">
          <a:endParaRPr lang="fr-FR" sz="700">
            <a:latin typeface="Tahoma" pitchFamily="34" charset="0"/>
            <a:ea typeface="Tahoma" pitchFamily="34" charset="0"/>
            <a:cs typeface="Tahoma" pitchFamily="34" charset="0"/>
          </a:endParaRPr>
        </a:p>
        <a:p xmlns:a="http://schemas.openxmlformats.org/drawingml/2006/main">
          <a:endParaRPr lang="fr-FR" sz="700">
            <a:latin typeface="Tahoma" pitchFamily="34" charset="0"/>
            <a:ea typeface="Tahoma" pitchFamily="34" charset="0"/>
            <a:cs typeface="Tahoma" pitchFamily="34" charset="0"/>
          </a:endParaRPr>
        </a:p>
        <a:p xmlns:a="http://schemas.openxmlformats.org/drawingml/2006/main">
          <a:r>
            <a:rPr lang="fr-FR" sz="700">
              <a:latin typeface="Tahoma" pitchFamily="34" charset="0"/>
              <a:ea typeface="Tahoma" pitchFamily="34" charset="0"/>
              <a:cs typeface="Tahoma" pitchFamily="34" charset="0"/>
            </a:rPr>
            <a:t>4,4</a:t>
          </a:r>
        </a:p>
        <a:p xmlns:a="http://schemas.openxmlformats.org/drawingml/2006/main">
          <a:endParaRPr lang="fr-FR" sz="700">
            <a:latin typeface="Tahoma" pitchFamily="34" charset="0"/>
            <a:ea typeface="Tahoma" pitchFamily="34" charset="0"/>
            <a:cs typeface="Tahoma" pitchFamily="34" charset="0"/>
          </a:endParaRPr>
        </a:p>
        <a:p xmlns:a="http://schemas.openxmlformats.org/drawingml/2006/main">
          <a:endParaRPr lang="fr-FR" sz="700">
            <a:latin typeface="Tahoma" pitchFamily="34" charset="0"/>
            <a:ea typeface="Tahoma" pitchFamily="34" charset="0"/>
            <a:cs typeface="Tahoma" pitchFamily="34" charset="0"/>
          </a:endParaRPr>
        </a:p>
        <a:p xmlns:a="http://schemas.openxmlformats.org/drawingml/2006/main">
          <a:r>
            <a:rPr lang="fr-FR" sz="700">
              <a:latin typeface="Tahoma" pitchFamily="34" charset="0"/>
              <a:ea typeface="Tahoma" pitchFamily="34" charset="0"/>
              <a:cs typeface="Tahoma" pitchFamily="34" charset="0"/>
            </a:rPr>
            <a:t>0,0</a:t>
          </a:r>
        </a:p>
        <a:p xmlns:a="http://schemas.openxmlformats.org/drawingml/2006/main">
          <a:endParaRPr lang="fr-FR" sz="700">
            <a:latin typeface="Tahoma" pitchFamily="34" charset="0"/>
            <a:ea typeface="Tahoma" pitchFamily="34" charset="0"/>
            <a:cs typeface="Tahoma" pitchFamily="34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IEDOM-EOM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PICHON-NC Elodie</dc:creator>
  <cp:keywords/>
  <dc:description/>
  <cp:lastModifiedBy>PICHON-NC Elodie</cp:lastModifiedBy>
  <cp:revision>1</cp:revision>
  <dcterms:created xsi:type="dcterms:W3CDTF">2021-03-02T02:20:00Z</dcterms:created>
  <dcterms:modified xsi:type="dcterms:W3CDTF">2021-03-02T02:24:00Z</dcterms:modified>
</cp:coreProperties>
</file>