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v:fill r:id="rId8" o:title="5 %" type="pattern"/>
    </v:background>
  </w:background>
  <w:body>
    <w:p w14:paraId="7E1E1D20" w14:textId="77777777" w:rsidR="00921721" w:rsidRPr="00F47B49" w:rsidRDefault="00921721" w:rsidP="00B674EE">
      <w:pPr>
        <w:pBdr>
          <w:top w:val="single" w:sz="4" w:space="1" w:color="auto"/>
          <w:left w:val="single" w:sz="4" w:space="4" w:color="auto"/>
          <w:bottom w:val="single" w:sz="4" w:space="1" w:color="auto"/>
          <w:right w:val="single" w:sz="4" w:space="4" w:color="auto"/>
        </w:pBdr>
        <w:rPr>
          <w:snapToGrid w:val="0"/>
        </w:rPr>
      </w:pPr>
    </w:p>
    <w:p w14:paraId="3CDC25FE" w14:textId="48EE4A93" w:rsidR="003C3E68" w:rsidRPr="00DB1E18" w:rsidRDefault="00B674EE" w:rsidP="000A3FF2">
      <w:pPr>
        <w:pStyle w:val="soustitredoc"/>
        <w:pBdr>
          <w:top w:val="single" w:sz="4" w:space="1" w:color="auto"/>
          <w:left w:val="single" w:sz="4" w:space="4" w:color="auto"/>
          <w:bottom w:val="single" w:sz="4" w:space="1" w:color="auto"/>
          <w:right w:val="single" w:sz="4" w:space="4" w:color="auto"/>
        </w:pBdr>
        <w:jc w:val="center"/>
        <w:rPr>
          <w:color w:val="auto"/>
          <w:lang w:val="en-US"/>
        </w:rPr>
      </w:pPr>
      <w:r>
        <w:rPr>
          <w:color w:val="auto"/>
          <w:lang w:val="en-US"/>
        </w:rPr>
        <w:t>INSTITUT D’EMISSION D’OUTRE MER</w:t>
      </w:r>
    </w:p>
    <w:p w14:paraId="64AA460E" w14:textId="1033EC4E" w:rsidR="003C3E68" w:rsidRDefault="00B674EE" w:rsidP="000A3FF2">
      <w:pPr>
        <w:pStyle w:val="soustitredoc"/>
        <w:pBdr>
          <w:top w:val="single" w:sz="4" w:space="1" w:color="auto"/>
          <w:left w:val="single" w:sz="4" w:space="4" w:color="auto"/>
          <w:bottom w:val="single" w:sz="4" w:space="1" w:color="auto"/>
          <w:right w:val="single" w:sz="4" w:space="4" w:color="auto"/>
        </w:pBdr>
        <w:jc w:val="center"/>
        <w:rPr>
          <w:color w:val="auto"/>
          <w:lang w:val="en-US"/>
        </w:rPr>
      </w:pPr>
      <w:r w:rsidRPr="00B674EE">
        <w:rPr>
          <w:color w:val="auto"/>
          <w:highlight w:val="yellow"/>
          <w:lang w:val="en-US"/>
        </w:rPr>
        <w:t xml:space="preserve">Nom de </w:t>
      </w:r>
      <w:proofErr w:type="spellStart"/>
      <w:r w:rsidRPr="00B674EE">
        <w:rPr>
          <w:color w:val="auto"/>
          <w:highlight w:val="yellow"/>
          <w:lang w:val="en-US"/>
        </w:rPr>
        <w:t>l’entreprise</w:t>
      </w:r>
      <w:proofErr w:type="spellEnd"/>
    </w:p>
    <w:p w14:paraId="32FD237C" w14:textId="55FE7ADA" w:rsidR="00425FEB" w:rsidRDefault="00425FEB" w:rsidP="000A3FF2">
      <w:pPr>
        <w:pStyle w:val="soustitredoc"/>
        <w:pBdr>
          <w:top w:val="single" w:sz="4" w:space="1" w:color="auto"/>
          <w:left w:val="single" w:sz="4" w:space="4" w:color="auto"/>
          <w:bottom w:val="single" w:sz="4" w:space="1" w:color="auto"/>
          <w:right w:val="single" w:sz="4" w:space="4" w:color="auto"/>
        </w:pBdr>
        <w:jc w:val="center"/>
        <w:rPr>
          <w:color w:val="auto"/>
          <w:lang w:val="en-US"/>
        </w:rPr>
      </w:pPr>
      <w:r w:rsidRPr="00425FEB">
        <w:rPr>
          <w:color w:val="auto"/>
          <w:highlight w:val="yellow"/>
          <w:lang w:val="en-US"/>
        </w:rPr>
        <w:t xml:space="preserve">RIDET </w:t>
      </w:r>
      <w:proofErr w:type="spellStart"/>
      <w:r w:rsidRPr="00425FEB">
        <w:rPr>
          <w:color w:val="auto"/>
          <w:highlight w:val="yellow"/>
          <w:lang w:val="en-US"/>
        </w:rPr>
        <w:t>ou</w:t>
      </w:r>
      <w:proofErr w:type="spellEnd"/>
      <w:r w:rsidRPr="00425FEB">
        <w:rPr>
          <w:color w:val="auto"/>
          <w:highlight w:val="yellow"/>
          <w:lang w:val="en-US"/>
        </w:rPr>
        <w:t xml:space="preserve"> N° de TAHITI</w:t>
      </w:r>
    </w:p>
    <w:p w14:paraId="7BEA7587" w14:textId="46BA6B09" w:rsidR="007165F7" w:rsidRPr="00DB1E18" w:rsidRDefault="00B674EE" w:rsidP="00521EE4">
      <w:pPr>
        <w:pStyle w:val="soustitredoc"/>
        <w:pBdr>
          <w:top w:val="single" w:sz="4" w:space="1" w:color="auto"/>
          <w:left w:val="single" w:sz="4" w:space="4" w:color="auto"/>
          <w:bottom w:val="single" w:sz="4" w:space="1" w:color="auto"/>
          <w:right w:val="single" w:sz="4" w:space="4" w:color="auto"/>
        </w:pBdr>
        <w:jc w:val="center"/>
        <w:rPr>
          <w:color w:val="auto"/>
          <w:lang w:val="en-US"/>
        </w:rPr>
      </w:pPr>
      <w:r>
        <w:rPr>
          <w:color w:val="auto"/>
          <w:lang w:val="en-US"/>
        </w:rPr>
        <w:t xml:space="preserve">AUTO EVALUATION DE </w:t>
      </w:r>
      <w:r w:rsidR="00521EE4">
        <w:rPr>
          <w:color w:val="auto"/>
          <w:lang w:val="en-US"/>
        </w:rPr>
        <w:t xml:space="preserve">LA </w:t>
      </w:r>
      <w:r>
        <w:rPr>
          <w:color w:val="auto"/>
          <w:lang w:val="en-US"/>
        </w:rPr>
        <w:t>SECURITE</w:t>
      </w:r>
      <w:r w:rsidR="00521EE4">
        <w:rPr>
          <w:color w:val="auto"/>
          <w:lang w:val="en-US"/>
        </w:rPr>
        <w:t xml:space="preserve"> DE L’EMETTEUR</w:t>
      </w:r>
    </w:p>
    <w:p w14:paraId="734E7D8B" w14:textId="511FF1EB" w:rsidR="00D928E4" w:rsidRPr="00733905" w:rsidRDefault="00D928E4" w:rsidP="000A3FF2">
      <w:pPr>
        <w:pStyle w:val="soustitredoc"/>
        <w:pBdr>
          <w:top w:val="single" w:sz="4" w:space="1" w:color="auto"/>
          <w:left w:val="single" w:sz="4" w:space="4" w:color="auto"/>
          <w:bottom w:val="single" w:sz="4" w:space="1" w:color="auto"/>
          <w:right w:val="single" w:sz="4" w:space="4" w:color="auto"/>
        </w:pBdr>
        <w:jc w:val="center"/>
        <w:rPr>
          <w:color w:val="auto"/>
          <w:lang w:val="en-US"/>
        </w:rPr>
      </w:pPr>
    </w:p>
    <w:p w14:paraId="2533445E" w14:textId="77777777" w:rsidR="00D928E4" w:rsidRPr="00733905" w:rsidRDefault="00D928E4" w:rsidP="00CD68D9">
      <w:pPr>
        <w:pBdr>
          <w:top w:val="single" w:sz="4" w:space="1" w:color="auto"/>
          <w:left w:val="single" w:sz="4" w:space="4" w:color="auto"/>
          <w:bottom w:val="single" w:sz="4" w:space="1" w:color="auto"/>
          <w:right w:val="single" w:sz="4" w:space="4" w:color="auto"/>
        </w:pBdr>
        <w:spacing w:after="0" w:afterAutospacing="0"/>
        <w:rPr>
          <w:snapToGrid w:val="0"/>
          <w:lang w:val="en-US"/>
        </w:rPr>
      </w:pPr>
    </w:p>
    <w:p w14:paraId="6F397E18" w14:textId="27C02DAD" w:rsidR="00D928E4" w:rsidRPr="00F47B49" w:rsidRDefault="00D928E4" w:rsidP="00CD68D9">
      <w:pPr>
        <w:pBdr>
          <w:top w:val="single" w:sz="4" w:space="1" w:color="auto"/>
          <w:left w:val="single" w:sz="4" w:space="4" w:color="auto"/>
          <w:bottom w:val="single" w:sz="4" w:space="1" w:color="auto"/>
          <w:right w:val="single" w:sz="4" w:space="4" w:color="auto"/>
        </w:pBdr>
        <w:spacing w:before="0" w:beforeAutospacing="0" w:after="0" w:afterAutospacing="0"/>
        <w:rPr>
          <w:snapToGrid w:val="0"/>
        </w:rPr>
      </w:pPr>
    </w:p>
    <w:p w14:paraId="2E6A3B7C" w14:textId="0584E75D" w:rsidR="00420C3B" w:rsidRDefault="00420C3B">
      <w:pPr>
        <w:spacing w:before="0" w:beforeAutospacing="0" w:after="200" w:afterAutospacing="0" w:line="276" w:lineRule="auto"/>
        <w:rPr>
          <w:snapToGrid w:val="0"/>
        </w:rPr>
      </w:pPr>
      <w:r>
        <w:rPr>
          <w:snapToGrid w:val="0"/>
        </w:rPr>
        <w:br w:type="page"/>
      </w:r>
    </w:p>
    <w:p w14:paraId="40C59923" w14:textId="66689710" w:rsidR="00311261" w:rsidRPr="0002430F" w:rsidRDefault="00425FEB" w:rsidP="00425FEB">
      <w:pPr>
        <w:pStyle w:val="Titre2"/>
        <w:spacing w:after="100"/>
        <w:ind w:left="0" w:hanging="9"/>
      </w:pPr>
      <w:bookmarkStart w:id="0" w:name="_Toc109721377"/>
      <w:r>
        <w:lastRenderedPageBreak/>
        <w:t>Formulaire</w:t>
      </w:r>
      <w:r w:rsidR="00311261" w:rsidRPr="0002430F">
        <w:t xml:space="preserve"> « </w:t>
      </w:r>
      <w:r w:rsidR="00311261" w:rsidRPr="009A3958">
        <w:t>Autoévaluation</w:t>
      </w:r>
      <w:r>
        <w:t xml:space="preserve"> de la sécurité</w:t>
      </w:r>
      <w:r w:rsidR="00311261">
        <w:t> »</w:t>
      </w:r>
      <w:bookmarkEnd w:id="0"/>
    </w:p>
    <w:p w14:paraId="7790AA41" w14:textId="05E7B7B7" w:rsidR="00311261" w:rsidRDefault="00311261" w:rsidP="00311261">
      <w:pPr>
        <w:jc w:val="both"/>
        <w:rPr>
          <w:rFonts w:cs="Arial"/>
          <w:bCs/>
          <w:sz w:val="20"/>
        </w:rPr>
      </w:pPr>
      <w:r w:rsidRPr="005D6EBC">
        <w:rPr>
          <w:rFonts w:cs="Arial"/>
          <w:bCs/>
          <w:sz w:val="20"/>
          <w:highlight w:val="yellow"/>
        </w:rPr>
        <w:t xml:space="preserve">Le remettant choisira le formulaire à renseigner </w:t>
      </w:r>
      <w:r w:rsidR="006D7CAF" w:rsidRPr="005D6EBC">
        <w:rPr>
          <w:rFonts w:cs="Arial"/>
          <w:bCs/>
          <w:sz w:val="20"/>
          <w:highlight w:val="yellow"/>
        </w:rPr>
        <w:t xml:space="preserve">- </w:t>
      </w:r>
      <w:proofErr w:type="spellStart"/>
      <w:r w:rsidR="006D7CAF" w:rsidRPr="005D6EBC">
        <w:rPr>
          <w:rFonts w:cs="Arial"/>
          <w:bCs/>
          <w:sz w:val="20"/>
          <w:highlight w:val="yellow"/>
        </w:rPr>
        <w:t>cf</w:t>
      </w:r>
      <w:proofErr w:type="spellEnd"/>
      <w:r w:rsidRPr="005D6EBC">
        <w:rPr>
          <w:rFonts w:cs="Arial"/>
          <w:bCs/>
          <w:sz w:val="20"/>
          <w:highlight w:val="yellow"/>
        </w:rPr>
        <w:t xml:space="preserve"> § </w:t>
      </w:r>
      <w:hyperlink w:anchor="_Choix_des_formulaires" w:history="1">
        <w:r w:rsidRPr="005D6EBC">
          <w:rPr>
            <w:rStyle w:val="Lienhypertexte"/>
            <w:rFonts w:cs="Arial"/>
            <w:bCs/>
            <w:sz w:val="20"/>
            <w:highlight w:val="yellow"/>
          </w:rPr>
          <w:t>Accès au formulaire « Autoévaluation à déclarer TSPD/IPS-CESU_IEOM »</w:t>
        </w:r>
      </w:hyperlink>
      <w:r>
        <w:rPr>
          <w:rFonts w:cs="Arial"/>
          <w:bCs/>
          <w:sz w:val="20"/>
        </w:rPr>
        <w:t>.</w:t>
      </w:r>
    </w:p>
    <w:p w14:paraId="2672A366" w14:textId="3E3F6062" w:rsidR="00425FEB" w:rsidRDefault="00425FEB" w:rsidP="00425FEB">
      <w:pPr>
        <w:spacing w:after="120" w:afterAutospacing="0"/>
        <w:jc w:val="both"/>
        <w:rPr>
          <w:rFonts w:cs="Arial"/>
          <w:bCs/>
          <w:sz w:val="20"/>
        </w:rPr>
      </w:pPr>
      <w:bookmarkStart w:id="1" w:name="_Toc98880935"/>
      <w:bookmarkStart w:id="2" w:name="_Toc98886349"/>
      <w:bookmarkStart w:id="3" w:name="_Toc98880936"/>
      <w:bookmarkStart w:id="4" w:name="_Toc98886350"/>
      <w:bookmarkStart w:id="5" w:name="_Toc98880937"/>
      <w:bookmarkStart w:id="6" w:name="_Toc98886351"/>
      <w:bookmarkStart w:id="7" w:name="_Toc98880938"/>
      <w:bookmarkStart w:id="8" w:name="_Toc98886352"/>
      <w:bookmarkStart w:id="9" w:name="_Toc48832619"/>
      <w:bookmarkEnd w:id="1"/>
      <w:bookmarkEnd w:id="2"/>
      <w:bookmarkEnd w:id="3"/>
      <w:bookmarkEnd w:id="4"/>
      <w:bookmarkEnd w:id="5"/>
      <w:bookmarkEnd w:id="6"/>
      <w:bookmarkEnd w:id="7"/>
      <w:bookmarkEnd w:id="8"/>
      <w:bookmarkEnd w:id="9"/>
      <w:r>
        <w:rPr>
          <w:rFonts w:cs="Arial"/>
          <w:bCs/>
          <w:sz w:val="20"/>
        </w:rPr>
        <w:t xml:space="preserve">Les règles de renseignement </w:t>
      </w:r>
      <w:r w:rsidRPr="001929A0">
        <w:rPr>
          <w:rFonts w:cs="Arial"/>
          <w:bCs/>
          <w:sz w:val="20"/>
        </w:rPr>
        <w:t>du document</w:t>
      </w:r>
      <w:r>
        <w:rPr>
          <w:rFonts w:cs="Arial"/>
          <w:bCs/>
          <w:sz w:val="20"/>
        </w:rPr>
        <w:t xml:space="preserve"> sont les suivantes</w:t>
      </w:r>
      <w:r w:rsidRPr="001929A0">
        <w:rPr>
          <w:rFonts w:cs="Arial"/>
          <w:bCs/>
          <w:sz w:val="20"/>
        </w:rPr>
        <w:t xml:space="preserve"> : </w:t>
      </w:r>
    </w:p>
    <w:p w14:paraId="16F35553" w14:textId="6A33F098" w:rsidR="00425FEB" w:rsidRDefault="00425FEB" w:rsidP="00425FEB">
      <w:pPr>
        <w:pStyle w:val="Paragraphedeliste"/>
        <w:numPr>
          <w:ilvl w:val="0"/>
          <w:numId w:val="5"/>
        </w:numPr>
        <w:spacing w:before="0" w:beforeAutospacing="0" w:after="0" w:afterAutospacing="0"/>
        <w:rPr>
          <w:rFonts w:eastAsiaTheme="majorEastAsia" w:cs="Arial"/>
          <w:sz w:val="20"/>
          <w:lang w:eastAsia="en-US"/>
        </w:rPr>
      </w:pPr>
      <w:r>
        <w:rPr>
          <w:rFonts w:eastAsiaTheme="majorEastAsia" w:cs="Arial"/>
          <w:sz w:val="20"/>
          <w:lang w:eastAsia="en-US"/>
        </w:rPr>
        <w:t>Sur les différentes lignes concernées, la couleur rouge, dans les colonnes « Niveau de sécurité » et « Références internes / commentaires », rappelle que les cellules ou champs sont à renseigner. Les caractéristiques des champs à renseigner sont rappelées dans les cellules concernées.</w:t>
      </w:r>
    </w:p>
    <w:p w14:paraId="101D1FC1" w14:textId="77777777" w:rsidR="00425FEB" w:rsidRPr="004562AE" w:rsidRDefault="00425FEB" w:rsidP="00425FEB">
      <w:pPr>
        <w:pStyle w:val="Paragraphedeliste"/>
        <w:spacing w:before="0" w:beforeAutospacing="0" w:after="0" w:afterAutospacing="0"/>
        <w:ind w:left="1440"/>
        <w:rPr>
          <w:rFonts w:eastAsiaTheme="majorEastAsia" w:cs="Arial"/>
          <w:sz w:val="20"/>
          <w:lang w:eastAsia="en-US"/>
        </w:rPr>
      </w:pPr>
    </w:p>
    <w:p w14:paraId="4857F758" w14:textId="79C4B9A4" w:rsidR="00425FEB" w:rsidRDefault="00A81390" w:rsidP="00425FEB">
      <w:pPr>
        <w:pStyle w:val="Paragraphedeliste"/>
        <w:numPr>
          <w:ilvl w:val="0"/>
          <w:numId w:val="5"/>
        </w:numPr>
        <w:spacing w:before="0" w:beforeAutospacing="0" w:after="0" w:afterAutospacing="0"/>
        <w:rPr>
          <w:rFonts w:ascii="Tahoma" w:eastAsiaTheme="majorEastAsia" w:hAnsi="Tahoma" w:cs="Tahoma"/>
          <w:sz w:val="20"/>
          <w:lang w:eastAsia="en-US"/>
        </w:rPr>
      </w:pPr>
      <w:r>
        <w:rPr>
          <w:rFonts w:ascii="Tahoma" w:eastAsiaTheme="majorEastAsia" w:hAnsi="Tahoma" w:cs="Tahoma"/>
          <w:sz w:val="20"/>
          <w:lang w:eastAsia="en-US"/>
        </w:rPr>
        <w:t>Pour chaque Considération Clé, l</w:t>
      </w:r>
      <w:r w:rsidRPr="00545AF2">
        <w:rPr>
          <w:rFonts w:ascii="Tahoma" w:eastAsiaTheme="majorEastAsia" w:hAnsi="Tahoma" w:cs="Tahoma"/>
          <w:sz w:val="20"/>
          <w:lang w:eastAsia="en-US"/>
        </w:rPr>
        <w:t xml:space="preserve">es données </w:t>
      </w:r>
      <w:r w:rsidRPr="00545AF2">
        <w:rPr>
          <w:rFonts w:ascii="Tahoma" w:eastAsiaTheme="majorEastAsia" w:hAnsi="Tahoma" w:cs="Tahoma"/>
          <w:b/>
          <w:i/>
          <w:sz w:val="20"/>
          <w:lang w:eastAsia="en-US"/>
        </w:rPr>
        <w:t>niveau de conformité</w:t>
      </w:r>
      <w:r w:rsidRPr="00545AF2">
        <w:rPr>
          <w:rFonts w:ascii="Tahoma" w:eastAsiaTheme="majorEastAsia" w:hAnsi="Tahoma" w:cs="Tahoma"/>
          <w:sz w:val="20"/>
          <w:lang w:eastAsia="en-US"/>
        </w:rPr>
        <w:t xml:space="preserve"> s</w:t>
      </w:r>
      <w:r>
        <w:rPr>
          <w:rFonts w:ascii="Tahoma" w:eastAsiaTheme="majorEastAsia" w:hAnsi="Tahoma" w:cs="Tahoma"/>
          <w:sz w:val="20"/>
          <w:lang w:eastAsia="en-US"/>
        </w:rPr>
        <w:t xml:space="preserve">ont à renseigner selon le nombre de sous-critères [listés </w:t>
      </w:r>
      <w:proofErr w:type="gramStart"/>
      <w:r>
        <w:rPr>
          <w:rFonts w:ascii="Tahoma" w:eastAsiaTheme="majorEastAsia" w:hAnsi="Tahoma" w:cs="Tahoma"/>
          <w:sz w:val="20"/>
          <w:lang w:eastAsia="en-US"/>
        </w:rPr>
        <w:t>de a</w:t>
      </w:r>
      <w:proofErr w:type="gramEnd"/>
      <w:r>
        <w:rPr>
          <w:rFonts w:ascii="Tahoma" w:eastAsiaTheme="majorEastAsia" w:hAnsi="Tahoma" w:cs="Tahoma"/>
          <w:sz w:val="20"/>
          <w:lang w:eastAsia="en-US"/>
        </w:rPr>
        <w:t>) à h)] qui sont respectés. La règle d’attribution de la note de la Considération Clé, selon le nombre de sous-critères respectés, est la suivante</w:t>
      </w:r>
      <w:r w:rsidRPr="00545AF2">
        <w:rPr>
          <w:rFonts w:ascii="Tahoma" w:eastAsiaTheme="majorEastAsia" w:hAnsi="Tahoma" w:cs="Tahoma"/>
          <w:sz w:val="20"/>
          <w:lang w:eastAsia="en-US"/>
        </w:rPr>
        <w:t> :</w:t>
      </w:r>
    </w:p>
    <w:p w14:paraId="71B8C8B4" w14:textId="77777777" w:rsidR="00425FEB" w:rsidRPr="008321F2" w:rsidRDefault="00425FEB" w:rsidP="00425FEB">
      <w:pPr>
        <w:pStyle w:val="Paragraphedeliste"/>
        <w:rPr>
          <w:rFonts w:ascii="Tahoma" w:eastAsiaTheme="majorEastAsia" w:hAnsi="Tahoma" w:cs="Tahoma"/>
          <w:sz w:val="20"/>
          <w:lang w:eastAsia="en-US"/>
        </w:rPr>
      </w:pPr>
    </w:p>
    <w:p w14:paraId="58F88425" w14:textId="77777777" w:rsidR="00425FEB" w:rsidRPr="00545AF2" w:rsidRDefault="00425FEB" w:rsidP="00425FEB">
      <w:pPr>
        <w:pStyle w:val="Paragraphedeliste"/>
        <w:numPr>
          <w:ilvl w:val="1"/>
          <w:numId w:val="5"/>
        </w:numPr>
        <w:spacing w:before="0" w:beforeAutospacing="0" w:after="0" w:afterAutospacing="0"/>
        <w:rPr>
          <w:rFonts w:ascii="Tahoma" w:eastAsiaTheme="majorEastAsia" w:hAnsi="Tahoma" w:cs="Tahoma"/>
          <w:sz w:val="20"/>
          <w:lang w:eastAsia="en-US"/>
        </w:rPr>
      </w:pPr>
      <w:r w:rsidRPr="00545AF2">
        <w:rPr>
          <w:rFonts w:ascii="Tahoma" w:eastAsiaTheme="majorEastAsia" w:hAnsi="Tahoma" w:cs="Tahoma"/>
          <w:sz w:val="20"/>
          <w:lang w:eastAsia="en-US"/>
        </w:rPr>
        <w:t xml:space="preserve">4 - </w:t>
      </w:r>
      <w:r w:rsidRPr="00545AF2">
        <w:rPr>
          <w:rFonts w:ascii="Tahoma" w:hAnsi="Tahoma" w:cs="Tahoma"/>
          <w:sz w:val="20"/>
        </w:rPr>
        <w:t>Satisfaction à l’ensemble des critères de la Considération Clé</w:t>
      </w:r>
    </w:p>
    <w:p w14:paraId="50F268DD" w14:textId="77777777" w:rsidR="00425FEB" w:rsidRPr="00545AF2" w:rsidRDefault="00425FEB" w:rsidP="00425FEB">
      <w:pPr>
        <w:pStyle w:val="Paragraphedeliste"/>
        <w:numPr>
          <w:ilvl w:val="1"/>
          <w:numId w:val="5"/>
        </w:numPr>
        <w:spacing w:before="0" w:beforeAutospacing="0" w:after="0" w:afterAutospacing="0"/>
        <w:rPr>
          <w:rFonts w:ascii="Tahoma" w:eastAsiaTheme="majorEastAsia" w:hAnsi="Tahoma" w:cs="Tahoma"/>
          <w:sz w:val="20"/>
          <w:lang w:eastAsia="en-US"/>
        </w:rPr>
      </w:pPr>
      <w:r w:rsidRPr="00545AF2">
        <w:rPr>
          <w:rFonts w:ascii="Tahoma" w:eastAsiaTheme="majorEastAsia" w:hAnsi="Tahoma" w:cs="Tahoma"/>
          <w:sz w:val="20"/>
          <w:lang w:eastAsia="en-US"/>
        </w:rPr>
        <w:t xml:space="preserve">3 - </w:t>
      </w:r>
      <w:r w:rsidRPr="00545AF2">
        <w:rPr>
          <w:rFonts w:ascii="Tahoma" w:hAnsi="Tahoma" w:cs="Tahoma"/>
          <w:sz w:val="20"/>
        </w:rPr>
        <w:t>Satisfaction à la majeure partie des critères ; non satisfaction à au moins l’un des critères</w:t>
      </w:r>
    </w:p>
    <w:p w14:paraId="7EADD5ED" w14:textId="77777777" w:rsidR="00425FEB" w:rsidRPr="00545AF2" w:rsidRDefault="00425FEB" w:rsidP="00425FEB">
      <w:pPr>
        <w:pStyle w:val="Paragraphedeliste"/>
        <w:numPr>
          <w:ilvl w:val="1"/>
          <w:numId w:val="5"/>
        </w:numPr>
        <w:spacing w:before="0" w:beforeAutospacing="0" w:after="0" w:afterAutospacing="0"/>
        <w:rPr>
          <w:rFonts w:ascii="Tahoma" w:eastAsiaTheme="majorEastAsia" w:hAnsi="Tahoma" w:cs="Tahoma"/>
          <w:sz w:val="20"/>
          <w:lang w:eastAsia="en-US"/>
        </w:rPr>
      </w:pPr>
      <w:r w:rsidRPr="00545AF2">
        <w:rPr>
          <w:rFonts w:ascii="Tahoma" w:eastAsiaTheme="majorEastAsia" w:hAnsi="Tahoma" w:cs="Tahoma"/>
          <w:sz w:val="20"/>
          <w:lang w:eastAsia="en-US"/>
        </w:rPr>
        <w:t xml:space="preserve">2 - </w:t>
      </w:r>
      <w:r w:rsidRPr="00545AF2">
        <w:rPr>
          <w:rFonts w:ascii="Tahoma" w:hAnsi="Tahoma" w:cs="Tahoma"/>
          <w:sz w:val="20"/>
        </w:rPr>
        <w:t>Satisfaction à la majeure partie des critères ; non satisfaction à au moins deux des critères</w:t>
      </w:r>
    </w:p>
    <w:p w14:paraId="6DF4D7A9" w14:textId="075E424E" w:rsidR="00425FEB" w:rsidRPr="006926BE" w:rsidRDefault="00425FEB" w:rsidP="00425FEB">
      <w:pPr>
        <w:pStyle w:val="Paragraphedeliste"/>
        <w:numPr>
          <w:ilvl w:val="1"/>
          <w:numId w:val="5"/>
        </w:numPr>
        <w:spacing w:before="0" w:beforeAutospacing="0" w:after="0" w:afterAutospacing="0"/>
        <w:rPr>
          <w:rFonts w:ascii="Tahoma" w:eastAsiaTheme="majorEastAsia" w:hAnsi="Tahoma" w:cs="Tahoma"/>
          <w:sz w:val="20"/>
          <w:lang w:eastAsia="en-US"/>
        </w:rPr>
      </w:pPr>
      <w:r w:rsidRPr="00545AF2">
        <w:rPr>
          <w:rFonts w:ascii="Tahoma" w:eastAsiaTheme="majorEastAsia" w:hAnsi="Tahoma" w:cs="Tahoma"/>
          <w:sz w:val="20"/>
          <w:lang w:eastAsia="en-US"/>
        </w:rPr>
        <w:t xml:space="preserve">1 - </w:t>
      </w:r>
      <w:r w:rsidRPr="00545AF2">
        <w:rPr>
          <w:rFonts w:ascii="Tahoma" w:hAnsi="Tahoma" w:cs="Tahoma"/>
          <w:sz w:val="20"/>
        </w:rPr>
        <w:t>Non satisfaction de trois critères ou plus</w:t>
      </w:r>
    </w:p>
    <w:p w14:paraId="46226F6B" w14:textId="77777777" w:rsidR="006926BE" w:rsidRPr="006926BE" w:rsidRDefault="006926BE" w:rsidP="006926BE">
      <w:pPr>
        <w:pStyle w:val="Paragraphedeliste"/>
        <w:spacing w:before="0" w:beforeAutospacing="0" w:after="0" w:afterAutospacing="0"/>
        <w:ind w:left="1440"/>
        <w:rPr>
          <w:rFonts w:ascii="Tahoma" w:eastAsiaTheme="majorEastAsia" w:hAnsi="Tahoma" w:cs="Tahoma"/>
          <w:sz w:val="20"/>
          <w:lang w:eastAsia="en-US"/>
        </w:rPr>
      </w:pPr>
    </w:p>
    <w:p w14:paraId="75719B1C" w14:textId="698F4C28" w:rsidR="006926BE" w:rsidRPr="006926BE" w:rsidRDefault="006926BE" w:rsidP="006926BE">
      <w:pPr>
        <w:pStyle w:val="Paragraphedeliste"/>
        <w:numPr>
          <w:ilvl w:val="0"/>
          <w:numId w:val="5"/>
        </w:numPr>
        <w:spacing w:before="0" w:beforeAutospacing="0" w:after="0" w:afterAutospacing="0"/>
        <w:rPr>
          <w:rFonts w:ascii="Tahoma" w:eastAsiaTheme="majorEastAsia" w:hAnsi="Tahoma" w:cs="Tahoma"/>
          <w:sz w:val="20"/>
          <w:lang w:eastAsia="en-US"/>
        </w:rPr>
      </w:pPr>
      <w:r>
        <w:rPr>
          <w:rFonts w:ascii="Tahoma" w:eastAsiaTheme="majorEastAsia" w:hAnsi="Tahoma" w:cs="Tahoma"/>
          <w:sz w:val="20"/>
          <w:lang w:eastAsia="en-US"/>
        </w:rPr>
        <w:t xml:space="preserve">Le point 6 du formulaire d’autoévaluation de la sécurité, ne concerne que les émetteurs de titres ou instruments « papier ». Aussi, les émetteurs de titres dématérialisés renseigneront les cellules concernées par cette partie de l’autoévaluation avec la mention « NNCP » - Ne nous concerne pas. </w:t>
      </w:r>
    </w:p>
    <w:p w14:paraId="5C6C780D" w14:textId="77777777" w:rsidR="008F3EE1" w:rsidRPr="007401C3" w:rsidRDefault="008F3EE1" w:rsidP="00CD68D9">
      <w:pPr>
        <w:pStyle w:val="Paragraphedeliste"/>
        <w:spacing w:before="0" w:beforeAutospacing="0" w:after="0" w:afterAutospacing="0"/>
        <w:rPr>
          <w:rFonts w:eastAsiaTheme="majorEastAsia" w:cs="Arial"/>
          <w:sz w:val="20"/>
          <w:lang w:eastAsia="en-US"/>
        </w:rPr>
      </w:pPr>
    </w:p>
    <w:tbl>
      <w:tblPr>
        <w:tblW w:w="14752" w:type="dxa"/>
        <w:tblInd w:w="-10" w:type="dxa"/>
        <w:tblCellMar>
          <w:left w:w="70" w:type="dxa"/>
          <w:right w:w="70" w:type="dxa"/>
        </w:tblCellMar>
        <w:tblLook w:val="04A0" w:firstRow="1" w:lastRow="0" w:firstColumn="1" w:lastColumn="0" w:noHBand="0" w:noVBand="1"/>
      </w:tblPr>
      <w:tblGrid>
        <w:gridCol w:w="10"/>
        <w:gridCol w:w="636"/>
        <w:gridCol w:w="9"/>
        <w:gridCol w:w="10202"/>
        <w:gridCol w:w="6"/>
        <w:gridCol w:w="1344"/>
        <w:gridCol w:w="6"/>
        <w:gridCol w:w="2539"/>
      </w:tblGrid>
      <w:tr w:rsidR="001148E2" w:rsidRPr="00A826E0" w14:paraId="36C75717" w14:textId="77777777" w:rsidTr="00A826E0">
        <w:trPr>
          <w:gridBefore w:val="1"/>
          <w:wBefore w:w="10" w:type="dxa"/>
          <w:trHeight w:val="684"/>
        </w:trPr>
        <w:tc>
          <w:tcPr>
            <w:tcW w:w="645" w:type="dxa"/>
            <w:gridSpan w:val="2"/>
            <w:tcBorders>
              <w:top w:val="single" w:sz="4" w:space="0" w:color="auto"/>
              <w:left w:val="single" w:sz="4" w:space="0" w:color="auto"/>
              <w:bottom w:val="single" w:sz="4" w:space="0" w:color="auto"/>
              <w:right w:val="single" w:sz="4" w:space="0" w:color="auto"/>
            </w:tcBorders>
            <w:noWrap/>
            <w:vAlign w:val="center"/>
            <w:hideMark/>
          </w:tcPr>
          <w:p w14:paraId="03DDE70C" w14:textId="77777777" w:rsidR="001148E2" w:rsidRPr="00A826E0" w:rsidRDefault="001148E2" w:rsidP="001148E2">
            <w:pPr>
              <w:spacing w:before="0" w:beforeAutospacing="0" w:after="0" w:afterAutospacing="0"/>
              <w:rPr>
                <w:rFonts w:ascii="Times New Roman" w:hAnsi="Times New Roman"/>
                <w:b/>
                <w:sz w:val="20"/>
                <w:szCs w:val="24"/>
              </w:rPr>
            </w:pPr>
          </w:p>
        </w:tc>
        <w:tc>
          <w:tcPr>
            <w:tcW w:w="10208" w:type="dxa"/>
            <w:gridSpan w:val="2"/>
            <w:tcBorders>
              <w:top w:val="single" w:sz="4" w:space="0" w:color="auto"/>
              <w:left w:val="single" w:sz="4" w:space="0" w:color="auto"/>
              <w:bottom w:val="single" w:sz="4" w:space="0" w:color="auto"/>
              <w:right w:val="single" w:sz="4" w:space="0" w:color="auto"/>
            </w:tcBorders>
            <w:noWrap/>
            <w:vAlign w:val="center"/>
            <w:hideMark/>
          </w:tcPr>
          <w:p w14:paraId="72F56104" w14:textId="5264A32B" w:rsidR="001148E2" w:rsidRPr="00A826E0" w:rsidRDefault="001148E2" w:rsidP="009A5170">
            <w:pPr>
              <w:spacing w:before="0" w:beforeAutospacing="0" w:after="0" w:afterAutospacing="0"/>
              <w:jc w:val="center"/>
              <w:rPr>
                <w:rFonts w:cs="Arial"/>
                <w:b/>
                <w:szCs w:val="18"/>
              </w:rPr>
            </w:pPr>
            <w:r w:rsidRPr="00A826E0">
              <w:rPr>
                <w:rFonts w:cs="Arial"/>
                <w:b/>
                <w:szCs w:val="18"/>
              </w:rPr>
              <w:t>AUTO-EVALUATION DE LA SECURITE DES TITRES SPECIAUX DE PAIEMENT DEMATERIALISES</w:t>
            </w:r>
            <w:r w:rsidR="00042B6A">
              <w:rPr>
                <w:rFonts w:cs="Arial"/>
                <w:b/>
                <w:szCs w:val="18"/>
              </w:rPr>
              <w:t xml:space="preserve"> </w:t>
            </w:r>
            <w:r w:rsidR="009A5170">
              <w:rPr>
                <w:rFonts w:cs="Arial"/>
                <w:b/>
                <w:szCs w:val="18"/>
              </w:rPr>
              <w:t xml:space="preserve">ET </w:t>
            </w:r>
            <w:r w:rsidR="00042B6A">
              <w:rPr>
                <w:rFonts w:cs="Arial"/>
                <w:b/>
                <w:szCs w:val="18"/>
              </w:rPr>
              <w:t>INSTRUMENTS DE PAIEMENTS SPECIFIQUES</w:t>
            </w:r>
            <w:r w:rsidR="009A5170">
              <w:rPr>
                <w:rFonts w:cs="Arial"/>
                <w:b/>
                <w:szCs w:val="18"/>
              </w:rPr>
              <w:t xml:space="preserve"> (y compris CESU)</w:t>
            </w:r>
          </w:p>
        </w:tc>
        <w:tc>
          <w:tcPr>
            <w:tcW w:w="13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97D65B" w14:textId="77777777" w:rsidR="001148E2" w:rsidRPr="00A826E0" w:rsidRDefault="001148E2" w:rsidP="001148E2">
            <w:pPr>
              <w:spacing w:before="0" w:beforeAutospacing="0" w:after="0" w:afterAutospacing="0"/>
              <w:jc w:val="center"/>
              <w:rPr>
                <w:rFonts w:cs="Arial"/>
                <w:b/>
                <w:szCs w:val="18"/>
              </w:rPr>
            </w:pPr>
            <w:r w:rsidRPr="00A826E0">
              <w:rPr>
                <w:rFonts w:cs="Arial"/>
                <w:b/>
                <w:szCs w:val="18"/>
              </w:rPr>
              <w:t>NIVEAU DE CONFORMITE</w:t>
            </w:r>
          </w:p>
        </w:tc>
        <w:tc>
          <w:tcPr>
            <w:tcW w:w="25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3F0BD0" w14:textId="77777777" w:rsidR="001148E2" w:rsidRDefault="001148E2" w:rsidP="001148E2">
            <w:pPr>
              <w:spacing w:before="0" w:beforeAutospacing="0" w:after="0" w:afterAutospacing="0"/>
              <w:jc w:val="center"/>
              <w:rPr>
                <w:rFonts w:cs="Arial"/>
                <w:b/>
                <w:szCs w:val="18"/>
              </w:rPr>
            </w:pPr>
            <w:r w:rsidRPr="00A826E0">
              <w:rPr>
                <w:rFonts w:cs="Arial"/>
                <w:b/>
                <w:szCs w:val="18"/>
              </w:rPr>
              <w:t>REFERENCES INTERNES / COMMENTAIRES</w:t>
            </w:r>
          </w:p>
          <w:p w14:paraId="3E073D4C" w14:textId="11187743" w:rsidR="006F0D8B" w:rsidRPr="00A826E0" w:rsidRDefault="006F0D8B" w:rsidP="001148E2">
            <w:pPr>
              <w:spacing w:before="0" w:beforeAutospacing="0" w:after="0" w:afterAutospacing="0"/>
              <w:jc w:val="center"/>
              <w:rPr>
                <w:rFonts w:cs="Arial"/>
                <w:b/>
                <w:szCs w:val="18"/>
              </w:rPr>
            </w:pPr>
            <w:r>
              <w:rPr>
                <w:rFonts w:cs="Arial"/>
                <w:b/>
                <w:szCs w:val="18"/>
              </w:rPr>
              <w:t>Obligatoire</w:t>
            </w:r>
          </w:p>
        </w:tc>
      </w:tr>
      <w:tr w:rsidR="00320CD5" w:rsidRPr="00A826E0" w14:paraId="60C8DA47" w14:textId="77777777" w:rsidTr="00A826E0">
        <w:trPr>
          <w:gridBefore w:val="1"/>
          <w:wBefore w:w="10" w:type="dxa"/>
          <w:trHeight w:val="276"/>
        </w:trPr>
        <w:tc>
          <w:tcPr>
            <w:tcW w:w="64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864D5F7" w14:textId="77777777" w:rsidR="00320CD5" w:rsidRPr="00A826E0" w:rsidRDefault="00320CD5" w:rsidP="001148E2">
            <w:pPr>
              <w:spacing w:before="0" w:beforeAutospacing="0" w:after="0" w:afterAutospacing="0"/>
              <w:jc w:val="center"/>
              <w:rPr>
                <w:rFonts w:cs="Arial"/>
                <w:b/>
                <w:sz w:val="20"/>
                <w:szCs w:val="18"/>
              </w:rPr>
            </w:pPr>
            <w:r w:rsidRPr="00A826E0">
              <w:rPr>
                <w:rFonts w:cs="Arial"/>
                <w:b/>
                <w:sz w:val="20"/>
                <w:szCs w:val="18"/>
              </w:rPr>
              <w:t>1</w:t>
            </w:r>
          </w:p>
        </w:tc>
        <w:tc>
          <w:tcPr>
            <w:tcW w:w="140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F711894" w14:textId="1BD1E77D" w:rsidR="00320CD5" w:rsidRPr="00A826E0" w:rsidRDefault="00320CD5" w:rsidP="00A826E0">
            <w:pPr>
              <w:spacing w:before="0" w:beforeAutospacing="0" w:after="0" w:afterAutospacing="0"/>
              <w:rPr>
                <w:rFonts w:cs="Arial"/>
                <w:sz w:val="20"/>
                <w:szCs w:val="18"/>
              </w:rPr>
            </w:pPr>
            <w:r w:rsidRPr="00A826E0">
              <w:rPr>
                <w:rFonts w:cs="Arial"/>
                <w:b/>
                <w:sz w:val="20"/>
                <w:szCs w:val="18"/>
              </w:rPr>
              <w:t>Gouvernance</w:t>
            </w:r>
            <w:r w:rsidR="00814BCC">
              <w:rPr>
                <w:rFonts w:cs="Arial"/>
                <w:b/>
                <w:sz w:val="20"/>
                <w:szCs w:val="18"/>
              </w:rPr>
              <w:t xml:space="preserve"> </w:t>
            </w:r>
            <w:r w:rsidR="00814BCC" w:rsidRPr="00A826E0">
              <w:rPr>
                <w:rFonts w:cs="Arial"/>
                <w:b/>
                <w:sz w:val="20"/>
                <w:szCs w:val="18"/>
              </w:rPr>
              <w:t>et organisation </w:t>
            </w:r>
          </w:p>
        </w:tc>
      </w:tr>
      <w:tr w:rsidR="001148E2" w:rsidRPr="001148E2" w14:paraId="2F1B0D90" w14:textId="77777777" w:rsidTr="00A826E0">
        <w:trPr>
          <w:gridBefore w:val="1"/>
          <w:wBefore w:w="10" w:type="dxa"/>
          <w:trHeight w:val="960"/>
        </w:trPr>
        <w:tc>
          <w:tcPr>
            <w:tcW w:w="645" w:type="dxa"/>
            <w:gridSpan w:val="2"/>
            <w:tcBorders>
              <w:top w:val="single" w:sz="4" w:space="0" w:color="auto"/>
              <w:left w:val="single" w:sz="4" w:space="0" w:color="0070C0"/>
              <w:bottom w:val="nil"/>
              <w:right w:val="single" w:sz="4" w:space="0" w:color="0070C0"/>
            </w:tcBorders>
            <w:shd w:val="clear" w:color="000000" w:fill="DDEBF7"/>
            <w:noWrap/>
            <w:vAlign w:val="center"/>
            <w:hideMark/>
          </w:tcPr>
          <w:p w14:paraId="146AC105"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1.1 </w:t>
            </w:r>
          </w:p>
        </w:tc>
        <w:tc>
          <w:tcPr>
            <w:tcW w:w="10208" w:type="dxa"/>
            <w:gridSpan w:val="2"/>
            <w:tcBorders>
              <w:top w:val="single" w:sz="4" w:space="0" w:color="auto"/>
              <w:left w:val="nil"/>
              <w:bottom w:val="nil"/>
              <w:right w:val="single" w:sz="4" w:space="0" w:color="0070C0"/>
            </w:tcBorders>
            <w:shd w:val="clear" w:color="000000" w:fill="DDEBF7"/>
            <w:noWrap/>
            <w:vAlign w:val="center"/>
            <w:hideMark/>
          </w:tcPr>
          <w:p w14:paraId="5E7B8D85"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La politique de sécurité est formalisée et validée par une instance dirigeante de l’assujetti. Elle fait l’objet d’une mise à jour sur une base annuelle. Elle doit comporter des objectifs de sécurité clairement définis, une identification des risques sécuritaires pesant sur l’activité, une évaluation de leur sévérité et des mesures d’encadrement du risque adéquates.</w:t>
            </w:r>
          </w:p>
        </w:tc>
        <w:tc>
          <w:tcPr>
            <w:tcW w:w="1350" w:type="dxa"/>
            <w:gridSpan w:val="2"/>
            <w:tcBorders>
              <w:top w:val="single" w:sz="4" w:space="0" w:color="auto"/>
              <w:left w:val="nil"/>
              <w:bottom w:val="nil"/>
              <w:right w:val="single" w:sz="4" w:space="0" w:color="0070C0"/>
            </w:tcBorders>
            <w:shd w:val="clear" w:color="000000" w:fill="DDEBF7"/>
            <w:vAlign w:val="center"/>
            <w:hideMark/>
          </w:tcPr>
          <w:p w14:paraId="44F103B4"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nil"/>
              <w:bottom w:val="nil"/>
              <w:right w:val="single" w:sz="4" w:space="0" w:color="0070C0"/>
            </w:tcBorders>
            <w:shd w:val="clear" w:color="000000" w:fill="DDEBF7"/>
            <w:vAlign w:val="center"/>
            <w:hideMark/>
          </w:tcPr>
          <w:p w14:paraId="6D27E8CE" w14:textId="77777777" w:rsidR="001148E2" w:rsidRPr="00A5045C" w:rsidRDefault="001148E2" w:rsidP="001148E2">
            <w:pPr>
              <w:spacing w:before="0" w:beforeAutospacing="0" w:after="0" w:afterAutospacing="0"/>
              <w:jc w:val="center"/>
              <w:rPr>
                <w:rFonts w:cs="Arial"/>
                <w:szCs w:val="18"/>
              </w:rPr>
            </w:pPr>
            <w:r w:rsidRPr="00A5045C">
              <w:rPr>
                <w:rFonts w:cs="Arial"/>
                <w:szCs w:val="18"/>
              </w:rPr>
              <w:t> </w:t>
            </w:r>
          </w:p>
        </w:tc>
      </w:tr>
      <w:tr w:rsidR="0081189C" w:rsidRPr="001148E2" w14:paraId="5BC66C71" w14:textId="77777777" w:rsidTr="00E44524">
        <w:trPr>
          <w:gridBefore w:val="1"/>
          <w:wBefore w:w="10" w:type="dxa"/>
          <w:trHeight w:val="288"/>
        </w:trPr>
        <w:tc>
          <w:tcPr>
            <w:tcW w:w="645" w:type="dxa"/>
            <w:gridSpan w:val="2"/>
            <w:vMerge w:val="restart"/>
            <w:tcBorders>
              <w:top w:val="nil"/>
              <w:left w:val="single" w:sz="4" w:space="0" w:color="0070C0"/>
              <w:right w:val="single" w:sz="4" w:space="0" w:color="0070C0"/>
            </w:tcBorders>
            <w:shd w:val="clear" w:color="000000" w:fill="FFFFFF"/>
            <w:noWrap/>
            <w:vAlign w:val="center"/>
          </w:tcPr>
          <w:p w14:paraId="3BE4285A" w14:textId="77777777" w:rsidR="0081189C" w:rsidRPr="00A5045C" w:rsidRDefault="0081189C" w:rsidP="0081189C">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3AECD2C5" w14:textId="77777777" w:rsidR="0081189C" w:rsidRPr="00A5045C" w:rsidRDefault="0081189C" w:rsidP="0081189C">
            <w:pPr>
              <w:spacing w:before="0" w:beforeAutospacing="0" w:after="0" w:afterAutospacing="0"/>
              <w:jc w:val="both"/>
              <w:rPr>
                <w:rFonts w:cs="Arial"/>
                <w:szCs w:val="18"/>
              </w:rPr>
            </w:pPr>
            <w:r w:rsidRPr="00A5045C">
              <w:rPr>
                <w:rFonts w:cs="Arial"/>
                <w:szCs w:val="18"/>
              </w:rPr>
              <w:t>L’émetteur de TSPD</w:t>
            </w:r>
            <w:r>
              <w:rPr>
                <w:rFonts w:cs="Arial"/>
                <w:szCs w:val="18"/>
              </w:rPr>
              <w:t>/IPS</w:t>
            </w:r>
            <w:r w:rsidRPr="00A5045C">
              <w:rPr>
                <w:rFonts w:cs="Arial"/>
                <w:szCs w:val="18"/>
              </w:rPr>
              <w:t> :</w:t>
            </w:r>
          </w:p>
        </w:tc>
        <w:tc>
          <w:tcPr>
            <w:tcW w:w="1350" w:type="dxa"/>
            <w:gridSpan w:val="2"/>
            <w:vMerge w:val="restart"/>
            <w:tcBorders>
              <w:top w:val="nil"/>
              <w:left w:val="single" w:sz="4" w:space="0" w:color="0070C0"/>
              <w:bottom w:val="single" w:sz="4" w:space="0" w:color="0070C0"/>
              <w:right w:val="single" w:sz="4" w:space="0" w:color="0070C0"/>
            </w:tcBorders>
            <w:shd w:val="clear" w:color="auto" w:fill="FFC000"/>
            <w:vAlign w:val="center"/>
            <w:hideMark/>
          </w:tcPr>
          <w:p w14:paraId="2A5EB3BF" w14:textId="2482D498"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nil"/>
              <w:left w:val="single" w:sz="4" w:space="0" w:color="0070C0"/>
              <w:bottom w:val="nil"/>
              <w:right w:val="single" w:sz="4" w:space="0" w:color="0070C0"/>
            </w:tcBorders>
            <w:shd w:val="clear" w:color="auto" w:fill="FFC000"/>
            <w:vAlign w:val="center"/>
            <w:hideMark/>
          </w:tcPr>
          <w:p w14:paraId="0E227A9C" w14:textId="1474AD0F"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A5045C" w:rsidRPr="001148E2" w14:paraId="5C6E6DD3"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663B069C"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nil"/>
              <w:right w:val="single" w:sz="4" w:space="0" w:color="0070C0"/>
            </w:tcBorders>
            <w:shd w:val="clear" w:color="000000" w:fill="FFFFFF"/>
            <w:noWrap/>
            <w:vAlign w:val="center"/>
            <w:hideMark/>
          </w:tcPr>
          <w:p w14:paraId="01798D88" w14:textId="77777777" w:rsidR="00A5045C" w:rsidRPr="00A5045C" w:rsidRDefault="00A5045C" w:rsidP="001148E2">
            <w:pPr>
              <w:spacing w:before="0" w:beforeAutospacing="0" w:after="0" w:afterAutospacing="0"/>
              <w:jc w:val="both"/>
              <w:rPr>
                <w:rFonts w:cs="Arial"/>
                <w:szCs w:val="18"/>
              </w:rPr>
            </w:pPr>
            <w:r w:rsidRPr="00A5045C">
              <w:rPr>
                <w:rFonts w:cs="Arial"/>
                <w:szCs w:val="18"/>
              </w:rPr>
              <w:t>a) dispose d’une politique de sécurité formalisée relative à l’émission et la gestion de TSPD</w:t>
            </w:r>
            <w:r w:rsidR="00234F78">
              <w:rPr>
                <w:rFonts w:cs="Arial"/>
                <w:szCs w:val="18"/>
              </w:rPr>
              <w:t>/IPS</w:t>
            </w:r>
            <w:r w:rsidRPr="00A5045C">
              <w:rPr>
                <w:rFonts w:cs="Arial"/>
                <w:szCs w:val="18"/>
              </w:rPr>
              <w:t xml:space="preserve"> comprenant notamment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2F373B60"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74EDA8B7" w14:textId="77777777" w:rsidR="00A5045C" w:rsidRPr="00A5045C" w:rsidRDefault="00A5045C" w:rsidP="001148E2">
            <w:pPr>
              <w:spacing w:before="0" w:beforeAutospacing="0" w:after="0" w:afterAutospacing="0"/>
              <w:rPr>
                <w:rFonts w:cs="Arial"/>
                <w:szCs w:val="18"/>
              </w:rPr>
            </w:pPr>
          </w:p>
        </w:tc>
      </w:tr>
      <w:tr w:rsidR="00A5045C" w:rsidRPr="001148E2" w14:paraId="6E0400C2"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13782B1F"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nil"/>
              <w:right w:val="single" w:sz="4" w:space="0" w:color="0070C0"/>
            </w:tcBorders>
            <w:shd w:val="clear" w:color="000000" w:fill="FFFFFF"/>
            <w:noWrap/>
            <w:vAlign w:val="center"/>
            <w:hideMark/>
          </w:tcPr>
          <w:p w14:paraId="041AF438"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une définition de la sécurité  (physique et logique) du système d’information, son périmètre et ses objectifs (et notamment, la disponibilité, l'intégrité et la confidentialité du SI)</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917C56A"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3FFD2868" w14:textId="77777777" w:rsidR="00A5045C" w:rsidRPr="00A5045C" w:rsidRDefault="00A5045C" w:rsidP="001148E2">
            <w:pPr>
              <w:spacing w:before="0" w:beforeAutospacing="0" w:after="0" w:afterAutospacing="0"/>
              <w:rPr>
                <w:rFonts w:cs="Arial"/>
                <w:szCs w:val="18"/>
              </w:rPr>
            </w:pPr>
          </w:p>
        </w:tc>
      </w:tr>
      <w:tr w:rsidR="00A5045C" w:rsidRPr="001148E2" w14:paraId="4EAED9CA" w14:textId="77777777" w:rsidTr="00E44524">
        <w:trPr>
          <w:gridBefore w:val="1"/>
          <w:wBefore w:w="10" w:type="dxa"/>
          <w:trHeight w:val="276"/>
        </w:trPr>
        <w:tc>
          <w:tcPr>
            <w:tcW w:w="645" w:type="dxa"/>
            <w:gridSpan w:val="2"/>
            <w:vMerge/>
            <w:tcBorders>
              <w:left w:val="single" w:sz="4" w:space="0" w:color="0070C0"/>
              <w:right w:val="single" w:sz="4" w:space="0" w:color="0070C0"/>
            </w:tcBorders>
            <w:shd w:val="clear" w:color="000000" w:fill="FFFFFF"/>
            <w:noWrap/>
            <w:vAlign w:val="center"/>
            <w:hideMark/>
          </w:tcPr>
          <w:p w14:paraId="2A9E10A8"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nil"/>
              <w:right w:val="single" w:sz="4" w:space="0" w:color="0070C0"/>
            </w:tcBorders>
            <w:shd w:val="clear" w:color="000000" w:fill="FFFFFF"/>
            <w:noWrap/>
            <w:vAlign w:val="center"/>
            <w:hideMark/>
          </w:tcPr>
          <w:p w14:paraId="0CF1D261"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une échelle permettant la qualification du niveau de risque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34208272"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E391386" w14:textId="77777777" w:rsidR="00A5045C" w:rsidRPr="00A5045C" w:rsidRDefault="00A5045C" w:rsidP="001148E2">
            <w:pPr>
              <w:spacing w:before="0" w:beforeAutospacing="0" w:after="0" w:afterAutospacing="0"/>
              <w:rPr>
                <w:rFonts w:cs="Arial"/>
                <w:szCs w:val="18"/>
              </w:rPr>
            </w:pPr>
          </w:p>
        </w:tc>
      </w:tr>
      <w:tr w:rsidR="00A5045C" w:rsidRPr="001148E2" w14:paraId="1E3032CE"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24E5F99E"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25A5F712"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des objectifs de sécurité définis par type de données comprenant les mesures de contrôle et les critères d’évaluation du niveau de sécurité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6B042AC1"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9E91751" w14:textId="77777777" w:rsidR="00A5045C" w:rsidRPr="00A5045C" w:rsidRDefault="00A5045C" w:rsidP="001148E2">
            <w:pPr>
              <w:spacing w:before="0" w:beforeAutospacing="0" w:after="0" w:afterAutospacing="0"/>
              <w:rPr>
                <w:rFonts w:cs="Arial"/>
                <w:szCs w:val="18"/>
              </w:rPr>
            </w:pPr>
          </w:p>
        </w:tc>
      </w:tr>
      <w:tr w:rsidR="00A5045C" w:rsidRPr="001148E2" w14:paraId="2B6CEEBD"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3A19BB0A"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8293CF0" w14:textId="77777777" w:rsidR="00A5045C" w:rsidRPr="00A5045C" w:rsidRDefault="00A5045C" w:rsidP="001148E2">
            <w:pPr>
              <w:spacing w:before="0" w:beforeAutospacing="0" w:after="0" w:afterAutospacing="0"/>
              <w:jc w:val="both"/>
              <w:rPr>
                <w:rFonts w:cs="Arial"/>
                <w:szCs w:val="18"/>
              </w:rPr>
            </w:pPr>
            <w:r w:rsidRPr="00A5045C">
              <w:rPr>
                <w:rFonts w:cs="Arial"/>
                <w:szCs w:val="18"/>
              </w:rPr>
              <w:t>b) fait valider la politique de sécurité par l’instance dirigeante, qui nomme un responsable chargé de son application et de sa révision périodique au regard des risques identifiés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31136F8C"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1AB15B7" w14:textId="77777777" w:rsidR="00A5045C" w:rsidRPr="00A5045C" w:rsidRDefault="00A5045C" w:rsidP="001148E2">
            <w:pPr>
              <w:spacing w:before="0" w:beforeAutospacing="0" w:after="0" w:afterAutospacing="0"/>
              <w:rPr>
                <w:rFonts w:cs="Arial"/>
                <w:szCs w:val="18"/>
              </w:rPr>
            </w:pPr>
          </w:p>
        </w:tc>
      </w:tr>
      <w:tr w:rsidR="00A5045C" w:rsidRPr="001148E2" w14:paraId="165633A9" w14:textId="77777777" w:rsidTr="00E44524">
        <w:trPr>
          <w:gridBefore w:val="1"/>
          <w:wBefore w:w="10" w:type="dxa"/>
          <w:trHeight w:val="456"/>
        </w:trPr>
        <w:tc>
          <w:tcPr>
            <w:tcW w:w="645" w:type="dxa"/>
            <w:gridSpan w:val="2"/>
            <w:vMerge/>
            <w:tcBorders>
              <w:left w:val="single" w:sz="4" w:space="0" w:color="0070C0"/>
              <w:bottom w:val="single" w:sz="4" w:space="0" w:color="0070C0"/>
              <w:right w:val="single" w:sz="4" w:space="0" w:color="0070C0"/>
            </w:tcBorders>
            <w:shd w:val="clear" w:color="000000" w:fill="FFFFFF"/>
            <w:noWrap/>
            <w:vAlign w:val="center"/>
            <w:hideMark/>
          </w:tcPr>
          <w:p w14:paraId="0D0F99A9" w14:textId="77777777" w:rsidR="00A5045C" w:rsidRPr="00A5045C" w:rsidRDefault="00A5045C" w:rsidP="001148E2">
            <w:pPr>
              <w:spacing w:before="0" w:beforeAutospacing="0" w:after="0" w:afterAutospacing="0"/>
              <w:jc w:val="center"/>
              <w:rPr>
                <w:rFonts w:cs="Arial"/>
                <w:szCs w:val="18"/>
              </w:rPr>
            </w:pPr>
          </w:p>
        </w:tc>
        <w:tc>
          <w:tcPr>
            <w:tcW w:w="10208" w:type="dxa"/>
            <w:gridSpan w:val="2"/>
            <w:tcBorders>
              <w:top w:val="single" w:sz="4" w:space="0" w:color="auto"/>
              <w:left w:val="nil"/>
              <w:bottom w:val="single" w:sz="4" w:space="0" w:color="0070C0"/>
              <w:right w:val="single" w:sz="4" w:space="0" w:color="0070C0"/>
            </w:tcBorders>
            <w:shd w:val="clear" w:color="000000" w:fill="FFFFFF"/>
            <w:noWrap/>
            <w:vAlign w:val="center"/>
            <w:hideMark/>
          </w:tcPr>
          <w:p w14:paraId="2A86A96F" w14:textId="77777777" w:rsidR="00A5045C" w:rsidRPr="00A5045C" w:rsidRDefault="00A5045C" w:rsidP="001148E2">
            <w:pPr>
              <w:spacing w:before="0" w:beforeAutospacing="0" w:after="0" w:afterAutospacing="0"/>
              <w:jc w:val="both"/>
              <w:rPr>
                <w:rFonts w:cs="Arial"/>
                <w:szCs w:val="18"/>
              </w:rPr>
            </w:pPr>
            <w:r w:rsidRPr="00A5045C">
              <w:rPr>
                <w:rFonts w:cs="Arial"/>
                <w:szCs w:val="18"/>
              </w:rPr>
              <w:t>c) s’assure de la connaissance des règles de sécurité par tous les intervenants de la chaîne d'émission (salariés, intérimaires, prestataires….).</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0B1ED447"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38C2702D" w14:textId="77777777" w:rsidR="00A5045C" w:rsidRPr="00A5045C" w:rsidRDefault="00A5045C" w:rsidP="001148E2">
            <w:pPr>
              <w:spacing w:before="0" w:beforeAutospacing="0" w:after="0" w:afterAutospacing="0"/>
              <w:rPr>
                <w:rFonts w:cs="Arial"/>
                <w:szCs w:val="18"/>
              </w:rPr>
            </w:pPr>
          </w:p>
        </w:tc>
      </w:tr>
      <w:tr w:rsidR="00891C6C" w:rsidRPr="001148E2" w14:paraId="2B6C6D14" w14:textId="77777777" w:rsidTr="00CD68D9">
        <w:trPr>
          <w:gridBefore w:val="1"/>
          <w:wBefore w:w="10" w:type="dxa"/>
          <w:trHeight w:val="480"/>
        </w:trPr>
        <w:tc>
          <w:tcPr>
            <w:tcW w:w="645" w:type="dxa"/>
            <w:gridSpan w:val="2"/>
            <w:tcBorders>
              <w:top w:val="nil"/>
              <w:left w:val="single" w:sz="4" w:space="0" w:color="0070C0"/>
              <w:bottom w:val="nil"/>
              <w:right w:val="single" w:sz="4" w:space="0" w:color="0070C0"/>
            </w:tcBorders>
            <w:shd w:val="clear" w:color="000000" w:fill="DDEBF7"/>
            <w:noWrap/>
            <w:vAlign w:val="center"/>
            <w:hideMark/>
          </w:tcPr>
          <w:p w14:paraId="04088E8C" w14:textId="77777777" w:rsidR="00891C6C" w:rsidRPr="00A5045C" w:rsidRDefault="00891C6C" w:rsidP="00891C6C">
            <w:pPr>
              <w:spacing w:before="0" w:beforeAutospacing="0" w:after="0" w:afterAutospacing="0"/>
              <w:jc w:val="center"/>
              <w:rPr>
                <w:rFonts w:cs="Arial"/>
                <w:b/>
                <w:bCs/>
                <w:szCs w:val="18"/>
              </w:rPr>
            </w:pPr>
            <w:r w:rsidRPr="00A5045C">
              <w:rPr>
                <w:rFonts w:cs="Arial"/>
                <w:b/>
                <w:bCs/>
                <w:szCs w:val="18"/>
              </w:rPr>
              <w:t xml:space="preserve">1.2 </w:t>
            </w:r>
          </w:p>
        </w:tc>
        <w:tc>
          <w:tcPr>
            <w:tcW w:w="10208" w:type="dxa"/>
            <w:gridSpan w:val="2"/>
            <w:tcBorders>
              <w:top w:val="nil"/>
              <w:left w:val="nil"/>
              <w:bottom w:val="nil"/>
              <w:right w:val="single" w:sz="4" w:space="0" w:color="0070C0"/>
            </w:tcBorders>
            <w:shd w:val="clear" w:color="000000" w:fill="DDEBF7"/>
            <w:vAlign w:val="center"/>
            <w:hideMark/>
          </w:tcPr>
          <w:p w14:paraId="57515485" w14:textId="77777777" w:rsidR="00891C6C" w:rsidRPr="00A5045C" w:rsidRDefault="00891C6C" w:rsidP="00891C6C">
            <w:pPr>
              <w:spacing w:before="0" w:beforeAutospacing="0" w:after="0" w:afterAutospacing="0"/>
              <w:rPr>
                <w:rFonts w:cs="Arial"/>
                <w:b/>
                <w:bCs/>
                <w:szCs w:val="18"/>
              </w:rPr>
            </w:pPr>
            <w:r w:rsidRPr="00A5045C">
              <w:rPr>
                <w:rFonts w:cs="Arial"/>
                <w:b/>
                <w:bCs/>
                <w:szCs w:val="18"/>
              </w:rPr>
              <w:t xml:space="preserve">La politique de sécurité prévoit une fonction indépendante de gestion des risques et définit les rôles et responsabilités des acteurs du contrôle permanent et périodique de son application. </w:t>
            </w:r>
          </w:p>
        </w:tc>
        <w:tc>
          <w:tcPr>
            <w:tcW w:w="1350" w:type="dxa"/>
            <w:gridSpan w:val="2"/>
            <w:tcBorders>
              <w:top w:val="nil"/>
              <w:left w:val="nil"/>
              <w:bottom w:val="nil"/>
              <w:right w:val="single" w:sz="4" w:space="0" w:color="0070C0"/>
            </w:tcBorders>
            <w:shd w:val="clear" w:color="000000" w:fill="DDEBF7"/>
            <w:vAlign w:val="center"/>
            <w:hideMark/>
          </w:tcPr>
          <w:p w14:paraId="66244CFA" w14:textId="77777777" w:rsidR="00891C6C" w:rsidRPr="00A5045C" w:rsidRDefault="00891C6C" w:rsidP="00891C6C">
            <w:pPr>
              <w:spacing w:before="0" w:beforeAutospacing="0" w:after="0" w:afterAutospacing="0"/>
              <w:jc w:val="center"/>
              <w:rPr>
                <w:rFonts w:cs="Arial"/>
                <w:b/>
                <w:bCs/>
                <w:szCs w:val="18"/>
              </w:rPr>
            </w:pPr>
          </w:p>
        </w:tc>
        <w:tc>
          <w:tcPr>
            <w:tcW w:w="2539" w:type="dxa"/>
            <w:tcBorders>
              <w:top w:val="nil"/>
              <w:left w:val="nil"/>
              <w:bottom w:val="nil"/>
              <w:right w:val="single" w:sz="4" w:space="0" w:color="0070C0"/>
            </w:tcBorders>
            <w:shd w:val="clear" w:color="000000" w:fill="DDEBF7"/>
            <w:vAlign w:val="center"/>
            <w:hideMark/>
          </w:tcPr>
          <w:p w14:paraId="19AA0AC8" w14:textId="68728BB1" w:rsidR="00891C6C" w:rsidRPr="00A5045C" w:rsidRDefault="00891C6C" w:rsidP="00891C6C">
            <w:pPr>
              <w:spacing w:before="0" w:beforeAutospacing="0" w:after="0" w:afterAutospacing="0"/>
              <w:jc w:val="center"/>
              <w:rPr>
                <w:rFonts w:cs="Arial"/>
                <w:szCs w:val="18"/>
              </w:rPr>
            </w:pPr>
          </w:p>
        </w:tc>
      </w:tr>
      <w:tr w:rsidR="0081189C" w:rsidRPr="001148E2" w14:paraId="00A406A0" w14:textId="77777777" w:rsidTr="00E44524">
        <w:trPr>
          <w:gridBefore w:val="1"/>
          <w:wBefore w:w="10" w:type="dxa"/>
          <w:trHeight w:val="288"/>
        </w:trPr>
        <w:tc>
          <w:tcPr>
            <w:tcW w:w="645" w:type="dxa"/>
            <w:gridSpan w:val="2"/>
            <w:vMerge w:val="restart"/>
            <w:tcBorders>
              <w:top w:val="nil"/>
              <w:left w:val="single" w:sz="4" w:space="0" w:color="0070C0"/>
              <w:right w:val="single" w:sz="4" w:space="0" w:color="0070C0"/>
            </w:tcBorders>
            <w:shd w:val="clear" w:color="000000" w:fill="FFFFFF"/>
            <w:noWrap/>
            <w:vAlign w:val="center"/>
          </w:tcPr>
          <w:p w14:paraId="79A16A9C" w14:textId="77777777" w:rsidR="0081189C" w:rsidRPr="00A5045C" w:rsidRDefault="0081189C" w:rsidP="0081189C">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4083D46A"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nil"/>
              <w:left w:val="single" w:sz="4" w:space="0" w:color="0070C0"/>
              <w:bottom w:val="single" w:sz="4" w:space="0" w:color="0070C0"/>
              <w:right w:val="single" w:sz="4" w:space="0" w:color="0070C0"/>
            </w:tcBorders>
            <w:shd w:val="clear" w:color="auto" w:fill="FFC000"/>
            <w:vAlign w:val="center"/>
            <w:hideMark/>
          </w:tcPr>
          <w:p w14:paraId="1C78B629" w14:textId="792300B0"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nil"/>
              <w:left w:val="single" w:sz="4" w:space="0" w:color="0070C0"/>
              <w:bottom w:val="nil"/>
              <w:right w:val="single" w:sz="4" w:space="0" w:color="0070C0"/>
            </w:tcBorders>
            <w:shd w:val="clear" w:color="auto" w:fill="FFC000"/>
            <w:vAlign w:val="center"/>
            <w:hideMark/>
          </w:tcPr>
          <w:p w14:paraId="5DF0F997" w14:textId="5FF71C10" w:rsidR="0081189C" w:rsidRPr="00A5045C" w:rsidRDefault="0081189C" w:rsidP="0081189C">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A5045C" w:rsidRPr="001148E2" w14:paraId="1F997C52"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2F9EE9C3"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7E7ABC2C" w14:textId="77777777" w:rsidR="00A5045C" w:rsidRPr="00A5045C" w:rsidRDefault="00A5045C" w:rsidP="001148E2">
            <w:pPr>
              <w:spacing w:before="0" w:beforeAutospacing="0" w:after="0" w:afterAutospacing="0"/>
              <w:jc w:val="both"/>
              <w:rPr>
                <w:rFonts w:cs="Arial"/>
                <w:szCs w:val="18"/>
              </w:rPr>
            </w:pPr>
            <w:r w:rsidRPr="00A5045C">
              <w:rPr>
                <w:rFonts w:cs="Arial"/>
                <w:szCs w:val="18"/>
              </w:rPr>
              <w:t>a) dispose d’une fonction indépendante de contrôle permanent et alloue les moyens nécessaires à l’exercice du contrôle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4591E3A0"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08D6481F" w14:textId="77777777" w:rsidR="00A5045C" w:rsidRPr="00A5045C" w:rsidRDefault="00A5045C" w:rsidP="001148E2">
            <w:pPr>
              <w:spacing w:before="0" w:beforeAutospacing="0" w:after="0" w:afterAutospacing="0"/>
              <w:rPr>
                <w:rFonts w:cs="Arial"/>
                <w:szCs w:val="18"/>
              </w:rPr>
            </w:pPr>
          </w:p>
        </w:tc>
      </w:tr>
      <w:tr w:rsidR="00A5045C" w:rsidRPr="001148E2" w14:paraId="26E78480" w14:textId="77777777" w:rsidTr="00E44524">
        <w:trPr>
          <w:gridBefore w:val="1"/>
          <w:wBefore w:w="10" w:type="dxa"/>
          <w:trHeight w:val="1368"/>
        </w:trPr>
        <w:tc>
          <w:tcPr>
            <w:tcW w:w="645" w:type="dxa"/>
            <w:gridSpan w:val="2"/>
            <w:vMerge/>
            <w:tcBorders>
              <w:left w:val="single" w:sz="4" w:space="0" w:color="0070C0"/>
              <w:right w:val="single" w:sz="4" w:space="0" w:color="0070C0"/>
            </w:tcBorders>
            <w:shd w:val="clear" w:color="000000" w:fill="FFFFFF"/>
            <w:noWrap/>
            <w:vAlign w:val="center"/>
            <w:hideMark/>
          </w:tcPr>
          <w:p w14:paraId="5E430BF6"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4D2EC2B8" w14:textId="77777777" w:rsidR="00A5045C" w:rsidRPr="00A5045C" w:rsidRDefault="00A5045C" w:rsidP="001148E2">
            <w:pPr>
              <w:spacing w:before="0" w:beforeAutospacing="0" w:after="0" w:afterAutospacing="0"/>
              <w:jc w:val="both"/>
              <w:rPr>
                <w:rFonts w:cs="Arial"/>
                <w:szCs w:val="18"/>
              </w:rPr>
            </w:pPr>
            <w:r w:rsidRPr="00A5045C">
              <w:rPr>
                <w:rFonts w:cs="Arial"/>
                <w:szCs w:val="18"/>
              </w:rPr>
              <w:t>b) dispose d'une fonction de contrôle périodique et se charge de veiller au respect des procédures et au caractère approprié des dispositifs de contrôle permanent. Lorsque la taille de l'entreprise ne justifie pas de confier les responsabilités du contrôle permanent et du contrôle périodique à des personnes différentes, ces responsabilités peuvent être confiées soit à une seule personne, soit à l'organe exécutif qui assure, sous le contrôle de l'organe délibérant, la coordination de tous les dispositifs qui concourent à l'exercice de cette mission;</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5F0EB55"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680D13A" w14:textId="77777777" w:rsidR="00A5045C" w:rsidRPr="00A5045C" w:rsidRDefault="00A5045C" w:rsidP="001148E2">
            <w:pPr>
              <w:spacing w:before="0" w:beforeAutospacing="0" w:after="0" w:afterAutospacing="0"/>
              <w:rPr>
                <w:rFonts w:cs="Arial"/>
                <w:szCs w:val="18"/>
              </w:rPr>
            </w:pPr>
          </w:p>
        </w:tc>
      </w:tr>
      <w:tr w:rsidR="00A5045C" w:rsidRPr="001148E2" w14:paraId="0A2EFBFF" w14:textId="77777777" w:rsidTr="00E44524">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1AD2E198"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27253573" w14:textId="77777777" w:rsidR="00A5045C" w:rsidRPr="00A5045C" w:rsidRDefault="00A5045C" w:rsidP="001148E2">
            <w:pPr>
              <w:spacing w:before="0" w:beforeAutospacing="0" w:after="0" w:afterAutospacing="0"/>
              <w:jc w:val="both"/>
              <w:rPr>
                <w:rFonts w:cs="Arial"/>
                <w:szCs w:val="18"/>
              </w:rPr>
            </w:pPr>
            <w:r w:rsidRPr="00A5045C">
              <w:rPr>
                <w:rFonts w:cs="Arial"/>
                <w:szCs w:val="18"/>
              </w:rPr>
              <w:t>c) dispose d’une charte de la fonction d’audit formalisée par la direction générale encadrant les conditions de réalisation des missions de contrôle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59803D37"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27B948EA" w14:textId="77777777" w:rsidR="00A5045C" w:rsidRPr="00A5045C" w:rsidRDefault="00A5045C" w:rsidP="001148E2">
            <w:pPr>
              <w:spacing w:before="0" w:beforeAutospacing="0" w:after="0" w:afterAutospacing="0"/>
              <w:rPr>
                <w:rFonts w:cs="Arial"/>
                <w:szCs w:val="18"/>
              </w:rPr>
            </w:pPr>
          </w:p>
        </w:tc>
      </w:tr>
      <w:tr w:rsidR="00A5045C" w:rsidRPr="001148E2" w14:paraId="037018F1" w14:textId="77777777" w:rsidTr="00E44524">
        <w:trPr>
          <w:gridBefore w:val="1"/>
          <w:wBefore w:w="10" w:type="dxa"/>
          <w:trHeight w:val="684"/>
        </w:trPr>
        <w:tc>
          <w:tcPr>
            <w:tcW w:w="645" w:type="dxa"/>
            <w:gridSpan w:val="2"/>
            <w:vMerge/>
            <w:tcBorders>
              <w:left w:val="single" w:sz="4" w:space="0" w:color="0070C0"/>
              <w:right w:val="single" w:sz="4" w:space="0" w:color="0070C0"/>
            </w:tcBorders>
            <w:shd w:val="clear" w:color="000000" w:fill="FFFFFF"/>
            <w:noWrap/>
            <w:vAlign w:val="center"/>
            <w:hideMark/>
          </w:tcPr>
          <w:p w14:paraId="478627F3"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0B7659B" w14:textId="77777777" w:rsidR="00A5045C" w:rsidRPr="00A5045C" w:rsidRDefault="00A5045C" w:rsidP="001148E2">
            <w:pPr>
              <w:spacing w:before="0" w:beforeAutospacing="0" w:after="0" w:afterAutospacing="0"/>
              <w:jc w:val="both"/>
              <w:rPr>
                <w:rFonts w:cs="Arial"/>
                <w:szCs w:val="18"/>
              </w:rPr>
            </w:pPr>
            <w:r w:rsidRPr="00A5045C">
              <w:rPr>
                <w:rFonts w:cs="Arial"/>
                <w:szCs w:val="18"/>
              </w:rPr>
              <w:t>d) dispose d’une procédure pour les missions de contrôle qui précise notamment qu’elles donnent lieu à l’établissement de rapports remis à la direction générale et qui font l’objet d’un plan d’action par les directions opérationnelles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6C193FF"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B576951" w14:textId="77777777" w:rsidR="00A5045C" w:rsidRPr="00A5045C" w:rsidRDefault="00A5045C" w:rsidP="001148E2">
            <w:pPr>
              <w:spacing w:before="0" w:beforeAutospacing="0" w:after="0" w:afterAutospacing="0"/>
              <w:rPr>
                <w:rFonts w:cs="Arial"/>
                <w:szCs w:val="18"/>
              </w:rPr>
            </w:pPr>
          </w:p>
        </w:tc>
      </w:tr>
      <w:tr w:rsidR="00A5045C" w:rsidRPr="001148E2" w14:paraId="633BB2F1" w14:textId="77777777" w:rsidTr="00E44524">
        <w:trPr>
          <w:gridBefore w:val="1"/>
          <w:wBefore w:w="10" w:type="dxa"/>
          <w:trHeight w:val="276"/>
        </w:trPr>
        <w:tc>
          <w:tcPr>
            <w:tcW w:w="645" w:type="dxa"/>
            <w:gridSpan w:val="2"/>
            <w:vMerge/>
            <w:tcBorders>
              <w:left w:val="single" w:sz="4" w:space="0" w:color="0070C0"/>
              <w:bottom w:val="single" w:sz="4" w:space="0" w:color="0070C0"/>
              <w:right w:val="single" w:sz="4" w:space="0" w:color="0070C0"/>
            </w:tcBorders>
            <w:shd w:val="clear" w:color="000000" w:fill="FFFFFF"/>
            <w:noWrap/>
            <w:vAlign w:val="center"/>
            <w:hideMark/>
          </w:tcPr>
          <w:p w14:paraId="7E797C79" w14:textId="77777777" w:rsidR="00A5045C" w:rsidRPr="00A5045C" w:rsidRDefault="00A5045C" w:rsidP="001148E2">
            <w:pPr>
              <w:spacing w:before="0" w:beforeAutospacing="0" w:after="0" w:afterAutospacing="0"/>
              <w:jc w:val="center"/>
              <w:rPr>
                <w:rFonts w:cs="Arial"/>
                <w:szCs w:val="18"/>
              </w:rPr>
            </w:pPr>
          </w:p>
        </w:tc>
        <w:tc>
          <w:tcPr>
            <w:tcW w:w="10208" w:type="dxa"/>
            <w:gridSpan w:val="2"/>
            <w:tcBorders>
              <w:top w:val="single" w:sz="4" w:space="0" w:color="auto"/>
              <w:left w:val="nil"/>
              <w:bottom w:val="single" w:sz="4" w:space="0" w:color="0070C0"/>
              <w:right w:val="single" w:sz="4" w:space="0" w:color="0070C0"/>
            </w:tcBorders>
            <w:shd w:val="clear" w:color="000000" w:fill="FFFFFF"/>
            <w:noWrap/>
            <w:vAlign w:val="center"/>
            <w:hideMark/>
          </w:tcPr>
          <w:p w14:paraId="15A928E1" w14:textId="77777777" w:rsidR="00A5045C" w:rsidRPr="00A5045C" w:rsidRDefault="00A5045C" w:rsidP="001148E2">
            <w:pPr>
              <w:spacing w:before="0" w:beforeAutospacing="0" w:after="0" w:afterAutospacing="0"/>
              <w:jc w:val="both"/>
              <w:rPr>
                <w:rFonts w:cs="Arial"/>
                <w:szCs w:val="18"/>
              </w:rPr>
            </w:pPr>
            <w:r w:rsidRPr="00A5045C">
              <w:rPr>
                <w:rFonts w:cs="Arial"/>
                <w:szCs w:val="18"/>
              </w:rPr>
              <w:t>e) s’assure que le responsable de la sécurité n’exerce pas d’activité opérationnelle au sein de l’entreprise.</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59205CD"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DF53695" w14:textId="77777777" w:rsidR="00A5045C" w:rsidRPr="00A5045C" w:rsidRDefault="00A5045C" w:rsidP="001148E2">
            <w:pPr>
              <w:spacing w:before="0" w:beforeAutospacing="0" w:after="0" w:afterAutospacing="0"/>
              <w:rPr>
                <w:rFonts w:cs="Arial"/>
                <w:szCs w:val="18"/>
              </w:rPr>
            </w:pPr>
          </w:p>
        </w:tc>
      </w:tr>
      <w:tr w:rsidR="00320CD5" w:rsidRPr="00A826E0" w14:paraId="6D8953B8" w14:textId="77777777" w:rsidTr="00A826E0">
        <w:trPr>
          <w:gridBefore w:val="1"/>
          <w:wBefore w:w="10" w:type="dxa"/>
          <w:trHeight w:val="276"/>
        </w:trPr>
        <w:tc>
          <w:tcPr>
            <w:tcW w:w="64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44CA5F7" w14:textId="77777777" w:rsidR="00320CD5" w:rsidRPr="00A826E0" w:rsidRDefault="00320CD5" w:rsidP="00A5045C">
            <w:pPr>
              <w:spacing w:before="0" w:beforeAutospacing="0" w:after="0" w:afterAutospacing="0"/>
              <w:jc w:val="center"/>
              <w:rPr>
                <w:rFonts w:cs="Arial"/>
                <w:b/>
                <w:sz w:val="20"/>
                <w:szCs w:val="18"/>
              </w:rPr>
            </w:pPr>
            <w:r w:rsidRPr="00A826E0">
              <w:rPr>
                <w:rFonts w:cs="Arial"/>
                <w:b/>
                <w:sz w:val="20"/>
                <w:szCs w:val="18"/>
              </w:rPr>
              <w:t>2.</w:t>
            </w:r>
          </w:p>
        </w:tc>
        <w:tc>
          <w:tcPr>
            <w:tcW w:w="140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B87A31D" w14:textId="77777777" w:rsidR="00320CD5" w:rsidRPr="00A826E0" w:rsidRDefault="00320CD5" w:rsidP="00A826E0">
            <w:pPr>
              <w:spacing w:before="0" w:beforeAutospacing="0" w:after="0" w:afterAutospacing="0"/>
              <w:rPr>
                <w:rFonts w:cs="Arial"/>
                <w:b/>
                <w:sz w:val="20"/>
                <w:szCs w:val="18"/>
              </w:rPr>
            </w:pPr>
            <w:r w:rsidRPr="00A826E0">
              <w:rPr>
                <w:rFonts w:cs="Arial"/>
                <w:b/>
                <w:sz w:val="20"/>
                <w:szCs w:val="18"/>
              </w:rPr>
              <w:t>Évaluation des risques</w:t>
            </w:r>
          </w:p>
        </w:tc>
      </w:tr>
      <w:tr w:rsidR="001148E2" w:rsidRPr="001148E2" w14:paraId="760FCB31" w14:textId="77777777" w:rsidTr="00A826E0">
        <w:trPr>
          <w:gridBefore w:val="1"/>
          <w:wBefore w:w="10" w:type="dxa"/>
          <w:trHeight w:val="192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85D9EEC"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2.1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AA69EEC"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 xml:space="preserve">Les émetteurs doivent conduire et documenter une évaluation de l’ensemble des risques associés à la sécurité des </w:t>
            </w:r>
            <w:r w:rsidR="00483DFD">
              <w:rPr>
                <w:rFonts w:cs="Arial"/>
                <w:b/>
                <w:bCs/>
                <w:szCs w:val="18"/>
              </w:rPr>
              <w:t>TSPD/IPS</w:t>
            </w:r>
            <w:r w:rsidRPr="00A5045C">
              <w:rPr>
                <w:rFonts w:cs="Arial"/>
                <w:b/>
                <w:bCs/>
                <w:szCs w:val="18"/>
              </w:rPr>
              <w:t xml:space="preserve"> et relatifs tant à leur émission qu'à leur gestion ou leur acceptation. Cette évaluation doit notamment prendre en considération les risques liés au i) système informatique d’émission des </w:t>
            </w:r>
            <w:r w:rsidR="00483DFD">
              <w:rPr>
                <w:rFonts w:cs="Arial"/>
                <w:b/>
                <w:bCs/>
                <w:szCs w:val="18"/>
              </w:rPr>
              <w:t>TSPD/IPS</w:t>
            </w:r>
            <w:r w:rsidRPr="00A5045C">
              <w:rPr>
                <w:rFonts w:cs="Arial"/>
                <w:b/>
                <w:bCs/>
                <w:szCs w:val="18"/>
              </w:rPr>
              <w:t xml:space="preserve"> (algorithmes de génération de codes, système d’autorisations, etc.) ; ii) aux éventuelles prestations externalisées (fabricants de supports carte, opérateurs télécom, développement applicatifs, réseau d’acceptation, etc.) ; iii) à l’environnement technique mis à la disposition des tiers bénéficiaires, financeurs, accepteurs impliqués (extranets, portail web, applications mobiles, etc.).</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752B9FBE"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259C3E53" w14:textId="77777777" w:rsidR="001148E2" w:rsidRPr="00A5045C" w:rsidRDefault="001148E2" w:rsidP="001148E2">
            <w:pPr>
              <w:spacing w:before="0" w:beforeAutospacing="0" w:after="0" w:afterAutospacing="0"/>
              <w:jc w:val="center"/>
              <w:rPr>
                <w:rFonts w:cs="Arial"/>
                <w:szCs w:val="18"/>
              </w:rPr>
            </w:pPr>
          </w:p>
        </w:tc>
      </w:tr>
      <w:tr w:rsidR="0081189C" w:rsidRPr="001148E2" w14:paraId="1069F18D" w14:textId="77777777" w:rsidTr="00E44524">
        <w:trPr>
          <w:gridBefore w:val="1"/>
          <w:wBefore w:w="10" w:type="dxa"/>
          <w:trHeight w:val="288"/>
        </w:trPr>
        <w:tc>
          <w:tcPr>
            <w:tcW w:w="645" w:type="dxa"/>
            <w:gridSpan w:val="2"/>
            <w:vMerge w:val="restart"/>
            <w:tcBorders>
              <w:top w:val="single" w:sz="4" w:space="0" w:color="auto"/>
              <w:left w:val="single" w:sz="4" w:space="0" w:color="auto"/>
              <w:right w:val="single" w:sz="4" w:space="0" w:color="auto"/>
            </w:tcBorders>
            <w:shd w:val="clear" w:color="000000" w:fill="FFFFFF"/>
            <w:noWrap/>
            <w:vAlign w:val="center"/>
          </w:tcPr>
          <w:p w14:paraId="56F31D39" w14:textId="77777777" w:rsidR="0081189C" w:rsidRPr="00A5045C" w:rsidRDefault="0081189C" w:rsidP="0081189C">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4E873"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02466E54" w14:textId="566EB6B0"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3034B3B" w14:textId="7509318F"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C10A05" w:rsidRPr="001148E2" w14:paraId="33238580" w14:textId="77777777" w:rsidTr="00E44524">
        <w:trPr>
          <w:gridBefore w:val="1"/>
          <w:wBefore w:w="10" w:type="dxa"/>
          <w:trHeight w:val="1596"/>
        </w:trPr>
        <w:tc>
          <w:tcPr>
            <w:tcW w:w="645" w:type="dxa"/>
            <w:gridSpan w:val="2"/>
            <w:vMerge/>
            <w:tcBorders>
              <w:left w:val="single" w:sz="4" w:space="0" w:color="auto"/>
              <w:right w:val="single" w:sz="4" w:space="0" w:color="auto"/>
            </w:tcBorders>
            <w:shd w:val="clear" w:color="000000" w:fill="FFFFFF"/>
            <w:noWrap/>
            <w:vAlign w:val="center"/>
            <w:hideMark/>
          </w:tcPr>
          <w:p w14:paraId="4B6473E8"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F6245"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a) a constitué une cartographie des risques couvrant l’intégralité du périmètre des activités d’émission et de gestion des </w:t>
            </w:r>
            <w:r w:rsidR="00483DFD">
              <w:rPr>
                <w:rFonts w:cs="Arial"/>
                <w:szCs w:val="18"/>
              </w:rPr>
              <w:t>TSPD/IPS</w:t>
            </w:r>
            <w:r w:rsidRPr="00A5045C">
              <w:rPr>
                <w:rFonts w:cs="Arial"/>
                <w:szCs w:val="18"/>
              </w:rPr>
              <w:t xml:space="preserve">, en tenant compte notamment des risques liés au i) système informatique d’émission des </w:t>
            </w:r>
            <w:r w:rsidR="00483DFD">
              <w:rPr>
                <w:rFonts w:cs="Arial"/>
                <w:szCs w:val="18"/>
              </w:rPr>
              <w:t>TSPD/IPS</w:t>
            </w:r>
            <w:r w:rsidRPr="00A5045C">
              <w:rPr>
                <w:rFonts w:cs="Arial"/>
                <w:szCs w:val="18"/>
              </w:rPr>
              <w:t xml:space="preserve"> (par exemple : algorithmes de génération de codes, système d’autorisations, etc.); ii) aux éventuelles prestations externalisées (par exemple : fabricants de supports carte, opérateurs télécom, développement applicatifs, réseau d’acceptation, etc.); iii) à l’environnement technique mis à la disposition des tiers bénéficiaires, financeurs, accepteurs impliqués (par exemple : extranets, portail web, applications mobiles, etc.)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429ECD9"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701D5E" w14:textId="77777777" w:rsidR="00C10A05" w:rsidRPr="00A5045C" w:rsidRDefault="00C10A05" w:rsidP="001148E2">
            <w:pPr>
              <w:spacing w:before="0" w:beforeAutospacing="0" w:after="0" w:afterAutospacing="0"/>
              <w:rPr>
                <w:rFonts w:cs="Arial"/>
                <w:szCs w:val="18"/>
              </w:rPr>
            </w:pPr>
          </w:p>
        </w:tc>
      </w:tr>
      <w:tr w:rsidR="00C10A05" w:rsidRPr="001148E2" w14:paraId="75B8689A" w14:textId="77777777" w:rsidTr="00E44524">
        <w:trPr>
          <w:gridBefore w:val="1"/>
          <w:wBefore w:w="10" w:type="dxa"/>
          <w:trHeight w:val="684"/>
        </w:trPr>
        <w:tc>
          <w:tcPr>
            <w:tcW w:w="645" w:type="dxa"/>
            <w:gridSpan w:val="2"/>
            <w:vMerge/>
            <w:tcBorders>
              <w:left w:val="single" w:sz="4" w:space="0" w:color="auto"/>
              <w:right w:val="single" w:sz="4" w:space="0" w:color="auto"/>
            </w:tcBorders>
            <w:shd w:val="clear" w:color="000000" w:fill="FFFFFF"/>
            <w:noWrap/>
            <w:vAlign w:val="center"/>
            <w:hideMark/>
          </w:tcPr>
          <w:p w14:paraId="74C55DFB"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36842"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veille à ce qu'une révision annuelle de l’analyse des risques, prenant en considération les nouvelles menaces et nouvelles vulnérabilités ainsi que les évolutions du système d’information ou des processus, soit validée par une instance dirigeante adéquate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B3926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045EDF" w14:textId="77777777" w:rsidR="00C10A05" w:rsidRPr="00A5045C" w:rsidRDefault="00C10A05" w:rsidP="001148E2">
            <w:pPr>
              <w:spacing w:before="0" w:beforeAutospacing="0" w:after="0" w:afterAutospacing="0"/>
              <w:rPr>
                <w:rFonts w:cs="Arial"/>
                <w:szCs w:val="18"/>
              </w:rPr>
            </w:pPr>
          </w:p>
        </w:tc>
      </w:tr>
      <w:tr w:rsidR="00C10A05" w:rsidRPr="001148E2" w14:paraId="45C4E15F" w14:textId="77777777" w:rsidTr="00E44524">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3E91C2BF"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8FB51"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c) intègre dans son évaluation les risques inhérents au recours à l'externalisation de fonctions du processus d'émission des </w:t>
            </w:r>
            <w:r w:rsidR="00483DFD">
              <w:rPr>
                <w:rFonts w:cs="Arial"/>
                <w:szCs w:val="18"/>
              </w:rPr>
              <w:t>TSPD/IPS</w:t>
            </w:r>
            <w:r w:rsidRPr="00A5045C">
              <w:rPr>
                <w:rFonts w:cs="Arial"/>
                <w:szCs w:val="18"/>
              </w:rPr>
              <w:t xml:space="preserve"> le cas échéant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CFE3BC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04803C1" w14:textId="77777777" w:rsidR="00C10A05" w:rsidRPr="00A5045C" w:rsidRDefault="00C10A05" w:rsidP="001148E2">
            <w:pPr>
              <w:spacing w:before="0" w:beforeAutospacing="0" w:after="0" w:afterAutospacing="0"/>
              <w:rPr>
                <w:rFonts w:cs="Arial"/>
                <w:szCs w:val="18"/>
              </w:rPr>
            </w:pPr>
          </w:p>
        </w:tc>
      </w:tr>
      <w:tr w:rsidR="00C10A05" w:rsidRPr="001148E2" w14:paraId="584BFE3F" w14:textId="77777777" w:rsidTr="00E44524">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2D06E6AF"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C93FF" w14:textId="77777777" w:rsidR="00C10A05" w:rsidRPr="00A5045C" w:rsidRDefault="00C10A05" w:rsidP="001148E2">
            <w:pPr>
              <w:spacing w:before="0" w:beforeAutospacing="0" w:after="0" w:afterAutospacing="0"/>
              <w:jc w:val="both"/>
              <w:rPr>
                <w:rFonts w:cs="Arial"/>
                <w:szCs w:val="18"/>
              </w:rPr>
            </w:pPr>
            <w:r w:rsidRPr="00A5045C">
              <w:rPr>
                <w:rFonts w:cs="Arial"/>
                <w:szCs w:val="18"/>
              </w:rPr>
              <w:t>d) s’assure que les procédures d’évaluation des risques prennent en considération les résultats des audits, des inspections et des incidents identifiés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56A854"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A8480BF" w14:textId="77777777" w:rsidR="00C10A05" w:rsidRPr="00A5045C" w:rsidRDefault="00C10A05" w:rsidP="001148E2">
            <w:pPr>
              <w:spacing w:before="0" w:beforeAutospacing="0" w:after="0" w:afterAutospacing="0"/>
              <w:rPr>
                <w:rFonts w:cs="Arial"/>
                <w:szCs w:val="18"/>
              </w:rPr>
            </w:pPr>
          </w:p>
        </w:tc>
      </w:tr>
      <w:tr w:rsidR="00C10A05" w:rsidRPr="001148E2" w14:paraId="78E7CA6E" w14:textId="77777777" w:rsidTr="00E44524">
        <w:trPr>
          <w:gridBefore w:val="1"/>
          <w:wBefore w:w="10" w:type="dxa"/>
          <w:trHeight w:val="276"/>
        </w:trPr>
        <w:tc>
          <w:tcPr>
            <w:tcW w:w="645" w:type="dxa"/>
            <w:gridSpan w:val="2"/>
            <w:vMerge/>
            <w:tcBorders>
              <w:left w:val="single" w:sz="4" w:space="0" w:color="auto"/>
              <w:bottom w:val="single" w:sz="4" w:space="0" w:color="auto"/>
              <w:right w:val="single" w:sz="4" w:space="0" w:color="auto"/>
            </w:tcBorders>
            <w:shd w:val="clear" w:color="000000" w:fill="FFFFFF"/>
            <w:noWrap/>
            <w:vAlign w:val="center"/>
            <w:hideMark/>
          </w:tcPr>
          <w:p w14:paraId="76658F13"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EC417" w14:textId="77777777" w:rsidR="00C10A05" w:rsidRPr="00A5045C" w:rsidRDefault="00C10A05" w:rsidP="001148E2">
            <w:pPr>
              <w:spacing w:before="0" w:beforeAutospacing="0" w:after="0" w:afterAutospacing="0"/>
              <w:jc w:val="both"/>
              <w:rPr>
                <w:rFonts w:cs="Arial"/>
                <w:szCs w:val="18"/>
              </w:rPr>
            </w:pPr>
            <w:r w:rsidRPr="00A5045C">
              <w:rPr>
                <w:rFonts w:cs="Arial"/>
                <w:szCs w:val="18"/>
              </w:rPr>
              <w:t>e) s’assure que la qualification du personnel chargé de l’évaluation des risques est adéquate à la fonction.</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A256751"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7F97AC6" w14:textId="77777777" w:rsidR="00C10A05" w:rsidRPr="00A5045C" w:rsidRDefault="00C10A05" w:rsidP="001148E2">
            <w:pPr>
              <w:spacing w:before="0" w:beforeAutospacing="0" w:after="0" w:afterAutospacing="0"/>
              <w:rPr>
                <w:rFonts w:cs="Arial"/>
                <w:szCs w:val="18"/>
              </w:rPr>
            </w:pPr>
          </w:p>
        </w:tc>
      </w:tr>
      <w:tr w:rsidR="001148E2" w:rsidRPr="001148E2" w14:paraId="528546ED" w14:textId="77777777" w:rsidTr="00A826E0">
        <w:trPr>
          <w:gridBefore w:val="1"/>
          <w:wBefore w:w="10" w:type="dxa"/>
          <w:trHeight w:val="144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F4DC941"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2.2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62EC704"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 xml:space="preserve">L’émetteur doit avoir identifié les données sensibles de paiement. Les données sensibles de paiement sont celles qui, conservées et réutilisées, permettent de réaliser des opérations frauduleuses de paiement. Elles comprennent les données permettant l’initiation d’un ordre de paiement, données d’identification, ainsi que tout autre donnée </w:t>
            </w:r>
            <w:r w:rsidR="008966F5" w:rsidRPr="00A5045C">
              <w:rPr>
                <w:rFonts w:cs="Arial"/>
                <w:b/>
                <w:bCs/>
                <w:szCs w:val="18"/>
              </w:rPr>
              <w:t>ou paramètre</w:t>
            </w:r>
            <w:r w:rsidRPr="00A5045C">
              <w:rPr>
                <w:rFonts w:cs="Arial"/>
                <w:b/>
                <w:bCs/>
                <w:szCs w:val="18"/>
              </w:rPr>
              <w:t xml:space="preserve"> qui lorsque modifié frauduleusement, compromet l’intégrité et la validité d’une opération de paiement. L’évaluation des risques doit prendre en considération la nécessité de protéger et sécuriser ces données.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1B95966F"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54B8D9B8" w14:textId="77777777" w:rsidR="001148E2" w:rsidRPr="00A5045C" w:rsidRDefault="001148E2" w:rsidP="001148E2">
            <w:pPr>
              <w:spacing w:before="0" w:beforeAutospacing="0" w:after="0" w:afterAutospacing="0"/>
              <w:jc w:val="center"/>
              <w:rPr>
                <w:rFonts w:cs="Arial"/>
                <w:szCs w:val="18"/>
              </w:rPr>
            </w:pPr>
          </w:p>
        </w:tc>
      </w:tr>
      <w:tr w:rsidR="0081189C" w:rsidRPr="001148E2" w14:paraId="7EDE9377" w14:textId="77777777" w:rsidTr="00E44524">
        <w:trPr>
          <w:gridBefore w:val="1"/>
          <w:wBefore w:w="10" w:type="dxa"/>
          <w:trHeight w:val="288"/>
        </w:trPr>
        <w:tc>
          <w:tcPr>
            <w:tcW w:w="645" w:type="dxa"/>
            <w:gridSpan w:val="2"/>
            <w:vMerge w:val="restart"/>
            <w:tcBorders>
              <w:top w:val="single" w:sz="4" w:space="0" w:color="auto"/>
              <w:left w:val="single" w:sz="4" w:space="0" w:color="auto"/>
              <w:right w:val="single" w:sz="4" w:space="0" w:color="auto"/>
            </w:tcBorders>
            <w:shd w:val="clear" w:color="000000" w:fill="FFFFFF"/>
            <w:noWrap/>
            <w:vAlign w:val="center"/>
          </w:tcPr>
          <w:p w14:paraId="5DFEDF31" w14:textId="77777777" w:rsidR="0081189C" w:rsidRPr="00A5045C" w:rsidRDefault="0081189C" w:rsidP="0081189C">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546A0"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C332A36" w14:textId="70A50E3E"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1E73B66" w14:textId="1A1B8883" w:rsidR="0081189C" w:rsidRPr="00A5045C" w:rsidRDefault="0081189C" w:rsidP="0081189C">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C10A05" w:rsidRPr="001148E2" w14:paraId="06E2FF53" w14:textId="77777777" w:rsidTr="00E44524">
        <w:trPr>
          <w:gridBefore w:val="1"/>
          <w:wBefore w:w="10" w:type="dxa"/>
          <w:trHeight w:val="684"/>
        </w:trPr>
        <w:tc>
          <w:tcPr>
            <w:tcW w:w="645" w:type="dxa"/>
            <w:gridSpan w:val="2"/>
            <w:vMerge/>
            <w:tcBorders>
              <w:left w:val="single" w:sz="4" w:space="0" w:color="auto"/>
              <w:right w:val="single" w:sz="4" w:space="0" w:color="auto"/>
            </w:tcBorders>
            <w:shd w:val="clear" w:color="000000" w:fill="FFFFFF"/>
            <w:noWrap/>
            <w:vAlign w:val="center"/>
            <w:hideMark/>
          </w:tcPr>
          <w:p w14:paraId="3BCC2D26"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CDA75" w14:textId="77777777" w:rsidR="00C10A05" w:rsidRPr="00A5045C" w:rsidRDefault="00C10A05" w:rsidP="001148E2">
            <w:pPr>
              <w:spacing w:before="0" w:beforeAutospacing="0" w:after="0" w:afterAutospacing="0"/>
              <w:jc w:val="both"/>
              <w:rPr>
                <w:rFonts w:cs="Arial"/>
                <w:szCs w:val="18"/>
              </w:rPr>
            </w:pPr>
            <w:r w:rsidRPr="00A5045C">
              <w:rPr>
                <w:rFonts w:cs="Arial"/>
                <w:szCs w:val="18"/>
              </w:rPr>
              <w:t>a) met en place des procédures appropriées pour identifier les données sensibles de paiement, qui peuvent varier selon la nature du support de l’instrument de paiement utilisé (par exemple par le PAN d’une carte de paiement ou numéro de téléphone d’un utilisateur)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3857133"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154A24B" w14:textId="77777777" w:rsidR="00C10A05" w:rsidRPr="00A5045C" w:rsidRDefault="00C10A05" w:rsidP="001148E2">
            <w:pPr>
              <w:spacing w:before="0" w:beforeAutospacing="0" w:after="0" w:afterAutospacing="0"/>
              <w:rPr>
                <w:rFonts w:cs="Arial"/>
                <w:szCs w:val="18"/>
              </w:rPr>
            </w:pPr>
          </w:p>
        </w:tc>
      </w:tr>
      <w:tr w:rsidR="00C10A05" w:rsidRPr="001148E2" w14:paraId="1560B66A" w14:textId="77777777" w:rsidTr="00E44524">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4D69D217"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DAC5F"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s’assure que la liste de ces données sensibles est mise à jour dans le cadre des projets d’évolutions et lorsque de nouveaux types de fraudes sont identifiés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4BAA78D"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7BAD3EB" w14:textId="77777777" w:rsidR="00C10A05" w:rsidRPr="00A5045C" w:rsidRDefault="00C10A05" w:rsidP="001148E2">
            <w:pPr>
              <w:spacing w:before="0" w:beforeAutospacing="0" w:after="0" w:afterAutospacing="0"/>
              <w:rPr>
                <w:rFonts w:cs="Arial"/>
                <w:szCs w:val="18"/>
              </w:rPr>
            </w:pPr>
          </w:p>
        </w:tc>
      </w:tr>
      <w:tr w:rsidR="00C10A05" w:rsidRPr="001148E2" w14:paraId="504BE13E" w14:textId="77777777" w:rsidTr="00E44524">
        <w:trPr>
          <w:gridBefore w:val="1"/>
          <w:wBefore w:w="10" w:type="dxa"/>
          <w:trHeight w:val="456"/>
        </w:trPr>
        <w:tc>
          <w:tcPr>
            <w:tcW w:w="645" w:type="dxa"/>
            <w:gridSpan w:val="2"/>
            <w:vMerge/>
            <w:tcBorders>
              <w:left w:val="single" w:sz="4" w:space="0" w:color="auto"/>
              <w:bottom w:val="single" w:sz="4" w:space="0" w:color="auto"/>
              <w:right w:val="single" w:sz="4" w:space="0" w:color="auto"/>
            </w:tcBorders>
            <w:shd w:val="clear" w:color="000000" w:fill="FFFFFF"/>
            <w:noWrap/>
            <w:vAlign w:val="center"/>
            <w:hideMark/>
          </w:tcPr>
          <w:p w14:paraId="3A42C465"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51FE6" w14:textId="77777777" w:rsidR="00C10A05" w:rsidRPr="00A5045C" w:rsidRDefault="00C10A05" w:rsidP="001148E2">
            <w:pPr>
              <w:spacing w:before="0" w:beforeAutospacing="0" w:after="0" w:afterAutospacing="0"/>
              <w:jc w:val="both"/>
              <w:rPr>
                <w:rFonts w:cs="Arial"/>
                <w:szCs w:val="18"/>
              </w:rPr>
            </w:pPr>
            <w:r w:rsidRPr="00A5045C">
              <w:rPr>
                <w:rFonts w:cs="Arial"/>
                <w:szCs w:val="18"/>
              </w:rPr>
              <w:t>c) prévoit les dispositifs techniques et organisationnels permettant de garantir l’authenticité, l’intégrité et la confidentialité des données sensibles de paiement.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E557FC9"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1143BEE" w14:textId="77777777" w:rsidR="00C10A05" w:rsidRPr="00A5045C" w:rsidRDefault="00C10A05" w:rsidP="001148E2">
            <w:pPr>
              <w:spacing w:before="0" w:beforeAutospacing="0" w:after="0" w:afterAutospacing="0"/>
              <w:rPr>
                <w:rFonts w:cs="Arial"/>
                <w:szCs w:val="18"/>
              </w:rPr>
            </w:pPr>
          </w:p>
        </w:tc>
      </w:tr>
      <w:tr w:rsidR="001148E2" w:rsidRPr="001148E2" w14:paraId="3D69C2D7" w14:textId="77777777" w:rsidTr="00A826E0">
        <w:trPr>
          <w:gridBefore w:val="1"/>
          <w:wBefore w:w="10" w:type="dxa"/>
          <w:trHeight w:val="96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A0CE1D1"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2.3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B3FBDAF"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Les émetteurs doivent entreprendre une revue des scénarios de risques majeurs pouvant affecter le service avant toute modification substantielle d’infrastructure ou de processus fonctionnel, ou lorsque de nouvelles menaces ont été identifiées lors d’une révision de l’analyse des risques. Cette révision générale de l’analyse des risques majeurs doit être réalisée a minima une fois par an.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475CA33D"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47EF2BA2" w14:textId="77777777" w:rsidR="001148E2" w:rsidRPr="00A5045C" w:rsidRDefault="001148E2" w:rsidP="001148E2">
            <w:pPr>
              <w:spacing w:before="0" w:beforeAutospacing="0" w:after="0" w:afterAutospacing="0"/>
              <w:jc w:val="center"/>
              <w:rPr>
                <w:rFonts w:cs="Arial"/>
                <w:szCs w:val="18"/>
              </w:rPr>
            </w:pPr>
          </w:p>
        </w:tc>
      </w:tr>
      <w:tr w:rsidR="0081189C" w:rsidRPr="001148E2" w14:paraId="7D1D6203" w14:textId="77777777" w:rsidTr="00E44524">
        <w:trPr>
          <w:gridBefore w:val="1"/>
          <w:wBefore w:w="10" w:type="dxa"/>
          <w:trHeight w:val="288"/>
        </w:trPr>
        <w:tc>
          <w:tcPr>
            <w:tcW w:w="64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D64758B" w14:textId="77777777" w:rsidR="0081189C" w:rsidRPr="00A5045C" w:rsidRDefault="0081189C" w:rsidP="0081189C">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1B41"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C686A92" w14:textId="70841719"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CCD5AB3" w14:textId="52AB7831"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C10A05" w:rsidRPr="001148E2" w14:paraId="6B2C145C" w14:textId="77777777" w:rsidTr="00E44524">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B45F6E3"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D4E95"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a) définit les risques majeurs liés à la sécurité des </w:t>
            </w:r>
            <w:r w:rsidR="00483DFD">
              <w:rPr>
                <w:rFonts w:cs="Arial"/>
                <w:szCs w:val="18"/>
              </w:rPr>
              <w:t>TSPD/IPS</w:t>
            </w:r>
            <w:r w:rsidRPr="00A5045C">
              <w:rPr>
                <w:rFonts w:cs="Arial"/>
                <w:szCs w:val="18"/>
              </w:rPr>
              <w:t>. Ceux-ci résultent généralement de l’indisponibilité du système d’information, des ressources humaines ou des locaux de l’entreprise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D5CAE8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A04962" w14:textId="77777777" w:rsidR="00C10A05" w:rsidRPr="00A5045C" w:rsidRDefault="00C10A05" w:rsidP="001148E2">
            <w:pPr>
              <w:spacing w:before="0" w:beforeAutospacing="0" w:after="0" w:afterAutospacing="0"/>
              <w:rPr>
                <w:rFonts w:cs="Arial"/>
                <w:szCs w:val="18"/>
              </w:rPr>
            </w:pPr>
          </w:p>
        </w:tc>
      </w:tr>
      <w:tr w:rsidR="00C10A05" w:rsidRPr="001148E2" w14:paraId="4C69456E" w14:textId="77777777" w:rsidTr="00E44524">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515EC82"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EFE0A"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s’assure que la révision de l'analyse des risques majeurs fait l'objet d'une rubrique dédiée dans le cadre de la révision annuelle de l'analyse des risques.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1046BB3"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1A46FFE" w14:textId="77777777" w:rsidR="00C10A05" w:rsidRPr="00A5045C" w:rsidRDefault="00C10A05" w:rsidP="001148E2">
            <w:pPr>
              <w:spacing w:before="0" w:beforeAutospacing="0" w:after="0" w:afterAutospacing="0"/>
              <w:rPr>
                <w:rFonts w:cs="Arial"/>
                <w:szCs w:val="18"/>
              </w:rPr>
            </w:pPr>
          </w:p>
        </w:tc>
      </w:tr>
      <w:tr w:rsidR="00903466" w:rsidRPr="001148E2" w14:paraId="646CFEF0" w14:textId="77777777" w:rsidTr="00735052">
        <w:trPr>
          <w:gridBefore w:val="1"/>
          <w:wBefore w:w="10" w:type="dxa"/>
          <w:trHeight w:val="96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3B33EA3" w14:textId="6F2F36A9" w:rsidR="00903466" w:rsidRPr="00A5045C" w:rsidRDefault="00903466" w:rsidP="00735052">
            <w:pPr>
              <w:spacing w:before="0" w:beforeAutospacing="0" w:after="0" w:afterAutospacing="0"/>
              <w:jc w:val="center"/>
              <w:rPr>
                <w:rFonts w:cs="Arial"/>
                <w:b/>
                <w:bCs/>
                <w:szCs w:val="18"/>
              </w:rPr>
            </w:pPr>
            <w:r>
              <w:rPr>
                <w:rFonts w:cs="Arial"/>
                <w:b/>
                <w:bCs/>
                <w:szCs w:val="18"/>
              </w:rPr>
              <w:t>2.4</w:t>
            </w:r>
            <w:r w:rsidRPr="00A5045C">
              <w:rPr>
                <w:rFonts w:cs="Arial"/>
                <w:b/>
                <w:bCs/>
                <w:szCs w:val="18"/>
              </w:rPr>
              <w:t xml:space="preserve">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E76C209" w14:textId="5788BE0F" w:rsidR="00903466" w:rsidRPr="00A5045C" w:rsidRDefault="00903466" w:rsidP="00735052">
            <w:pPr>
              <w:spacing w:before="0" w:beforeAutospacing="0" w:after="0" w:afterAutospacing="0"/>
              <w:jc w:val="both"/>
              <w:rPr>
                <w:rFonts w:cs="Arial"/>
                <w:b/>
                <w:bCs/>
                <w:szCs w:val="18"/>
              </w:rPr>
            </w:pPr>
            <w:r w:rsidRPr="00F039AD">
              <w:rPr>
                <w:rFonts w:ascii="Calibri" w:hAnsi="Calibri" w:cs="Calibri"/>
                <w:b/>
                <w:bCs/>
                <w:color w:val="000000"/>
                <w:sz w:val="20"/>
              </w:rPr>
              <w:t>Les émetteurs exercent une activité de veille qui leur permet d’adapter les protections dont bénéficient leurs titres physiques ou dématérialisés en fonction de l’évolution des techniques de fraude, afin que ceux-ci conservent toujours un niveau de sécurité adapté.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2CFED6C5" w14:textId="77777777" w:rsidR="00903466" w:rsidRPr="00A5045C" w:rsidRDefault="00903466" w:rsidP="0073505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47821503" w14:textId="77777777" w:rsidR="00903466" w:rsidRPr="00A5045C" w:rsidRDefault="00903466" w:rsidP="00735052">
            <w:pPr>
              <w:spacing w:before="0" w:beforeAutospacing="0" w:after="0" w:afterAutospacing="0"/>
              <w:jc w:val="center"/>
              <w:rPr>
                <w:rFonts w:cs="Arial"/>
                <w:szCs w:val="18"/>
              </w:rPr>
            </w:pPr>
          </w:p>
        </w:tc>
      </w:tr>
      <w:tr w:rsidR="0081189C" w:rsidRPr="001148E2" w14:paraId="2D60561B" w14:textId="77777777" w:rsidTr="00E44524">
        <w:trPr>
          <w:gridBefore w:val="1"/>
          <w:wBefore w:w="10" w:type="dxa"/>
          <w:trHeight w:val="288"/>
        </w:trPr>
        <w:tc>
          <w:tcPr>
            <w:tcW w:w="64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47D17C7" w14:textId="77777777" w:rsidR="0081189C" w:rsidRPr="00A5045C" w:rsidRDefault="0081189C" w:rsidP="0081189C">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5F7ED" w14:textId="77777777" w:rsidR="0081189C" w:rsidRPr="007165F7" w:rsidRDefault="0081189C" w:rsidP="0081189C">
            <w:pPr>
              <w:spacing w:before="0" w:beforeAutospacing="0" w:after="0" w:afterAutospacing="0"/>
              <w:jc w:val="both"/>
              <w:rPr>
                <w:rFonts w:cs="Arial"/>
                <w:szCs w:val="18"/>
              </w:rPr>
            </w:pPr>
            <w:r w:rsidRPr="007165F7">
              <w:rPr>
                <w:rFonts w:cs="Arial"/>
                <w:szCs w:val="18"/>
              </w:rPr>
              <w:t>L’émetteur de TSPD/IPS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604EF48" w14:textId="759E3FBB"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65C48C3" w14:textId="0BE2ADBD" w:rsidR="0081189C" w:rsidRPr="00A5045C" w:rsidRDefault="0081189C" w:rsidP="0081189C">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903466" w:rsidRPr="001148E2" w14:paraId="2EF71946" w14:textId="77777777" w:rsidTr="00E44524">
        <w:trPr>
          <w:gridBefore w:val="1"/>
          <w:wBefore w:w="10" w:type="dxa"/>
          <w:trHeight w:val="288"/>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1023266" w14:textId="77777777" w:rsidR="00903466" w:rsidRPr="00A5045C" w:rsidRDefault="00903466" w:rsidP="00903466">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543151" w14:textId="6A8BE660" w:rsidR="00903466" w:rsidRPr="007165F7" w:rsidRDefault="00903466" w:rsidP="00903466">
            <w:pPr>
              <w:spacing w:before="0" w:beforeAutospacing="0" w:after="0" w:afterAutospacing="0"/>
              <w:jc w:val="both"/>
              <w:rPr>
                <w:rFonts w:cs="Arial"/>
                <w:szCs w:val="18"/>
              </w:rPr>
            </w:pPr>
            <w:r w:rsidRPr="007165F7">
              <w:rPr>
                <w:rFonts w:cs="Arial"/>
                <w:color w:val="000000"/>
                <w:szCs w:val="18"/>
              </w:rPr>
              <w:t>a) exerce une activité de veille concernant l’évolution des méthodes de falsification et de contrefaçon des TSPD/IPS.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tcPr>
          <w:p w14:paraId="74F4EE74" w14:textId="77777777" w:rsidR="00903466" w:rsidRDefault="00903466" w:rsidP="00903466">
            <w:pPr>
              <w:spacing w:before="0" w:beforeAutospacing="0" w:after="0" w:afterAutospacing="0"/>
              <w:jc w:val="center"/>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tcPr>
          <w:p w14:paraId="736CC60F" w14:textId="77777777" w:rsidR="00903466" w:rsidRDefault="00903466" w:rsidP="00903466">
            <w:pPr>
              <w:spacing w:before="0" w:beforeAutospacing="0" w:after="0" w:afterAutospacing="0"/>
              <w:jc w:val="center"/>
              <w:rPr>
                <w:rFonts w:cs="Arial"/>
                <w:color w:val="000000"/>
                <w:szCs w:val="18"/>
              </w:rPr>
            </w:pPr>
          </w:p>
        </w:tc>
      </w:tr>
      <w:tr w:rsidR="00903466" w:rsidRPr="001148E2" w14:paraId="1D01B7DA" w14:textId="77777777" w:rsidTr="00E44524">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3D4078C" w14:textId="77777777" w:rsidR="00903466" w:rsidRPr="00A5045C" w:rsidRDefault="00903466" w:rsidP="00903466">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327979" w14:textId="24374FA8" w:rsidR="00903466" w:rsidRPr="007165F7" w:rsidRDefault="00903466" w:rsidP="00903466">
            <w:pPr>
              <w:spacing w:before="0" w:beforeAutospacing="0" w:after="0" w:afterAutospacing="0"/>
              <w:jc w:val="both"/>
              <w:rPr>
                <w:rFonts w:cs="Arial"/>
                <w:szCs w:val="18"/>
              </w:rPr>
            </w:pPr>
            <w:r w:rsidRPr="007165F7">
              <w:rPr>
                <w:rFonts w:cs="Arial"/>
                <w:color w:val="000000"/>
                <w:szCs w:val="18"/>
              </w:rPr>
              <w:t>b) exerce une activité de veille concernant l’évolution des méthodes d’attaque en particulier des attaques réalisées sur les environnements d’accès distants proposés aux tiers avec lesquels il est en relation.</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36AFB37" w14:textId="77777777" w:rsidR="00903466" w:rsidRPr="00A5045C" w:rsidRDefault="00903466" w:rsidP="00903466">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A3421CE" w14:textId="77777777" w:rsidR="00903466" w:rsidRPr="00A5045C" w:rsidRDefault="00903466" w:rsidP="00903466">
            <w:pPr>
              <w:spacing w:before="0" w:beforeAutospacing="0" w:after="0" w:afterAutospacing="0"/>
              <w:rPr>
                <w:rFonts w:cs="Arial"/>
                <w:szCs w:val="18"/>
              </w:rPr>
            </w:pPr>
          </w:p>
        </w:tc>
      </w:tr>
      <w:tr w:rsidR="00903466" w:rsidRPr="001148E2" w14:paraId="1587C674" w14:textId="77777777" w:rsidTr="00E44524">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5F6DBC4" w14:textId="77777777" w:rsidR="00903466" w:rsidRPr="00A5045C" w:rsidRDefault="00903466" w:rsidP="00903466">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9E989" w14:textId="6A1EA171" w:rsidR="00903466" w:rsidRPr="007165F7" w:rsidRDefault="00903466" w:rsidP="00903466">
            <w:pPr>
              <w:spacing w:before="0" w:beforeAutospacing="0" w:after="0" w:afterAutospacing="0"/>
              <w:jc w:val="both"/>
              <w:rPr>
                <w:rFonts w:cs="Arial"/>
                <w:szCs w:val="18"/>
              </w:rPr>
            </w:pPr>
            <w:r w:rsidRPr="007165F7">
              <w:rPr>
                <w:rFonts w:cs="Arial"/>
                <w:color w:val="000000"/>
                <w:szCs w:val="18"/>
              </w:rPr>
              <w:t>c) tient compte des informations recueillies par son activité de veille pour adapter le niveau de sécurité de ses TSPD/IPS, de ses bases de données et de ses accès réseaux.</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66105DB" w14:textId="77777777" w:rsidR="00903466" w:rsidRPr="00A5045C" w:rsidRDefault="00903466" w:rsidP="00903466">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32AA1A4" w14:textId="77777777" w:rsidR="00903466" w:rsidRPr="00A5045C" w:rsidRDefault="00903466" w:rsidP="00903466">
            <w:pPr>
              <w:spacing w:before="0" w:beforeAutospacing="0" w:after="0" w:afterAutospacing="0"/>
              <w:rPr>
                <w:rFonts w:cs="Arial"/>
                <w:szCs w:val="18"/>
              </w:rPr>
            </w:pPr>
          </w:p>
        </w:tc>
      </w:tr>
      <w:tr w:rsidR="00903466" w:rsidRPr="00A826E0" w14:paraId="1184AF9C"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7D996500" w14:textId="77777777" w:rsidR="00903466" w:rsidRPr="00A826E0" w:rsidRDefault="00903466" w:rsidP="00903466">
            <w:pPr>
              <w:spacing w:before="0" w:beforeAutospacing="0" w:after="0" w:afterAutospacing="0"/>
              <w:jc w:val="both"/>
              <w:rPr>
                <w:rFonts w:cs="Arial"/>
                <w:b/>
                <w:sz w:val="20"/>
                <w:szCs w:val="18"/>
              </w:rPr>
            </w:pPr>
            <w:r w:rsidRPr="00A826E0">
              <w:rPr>
                <w:rFonts w:cs="Arial"/>
                <w:b/>
                <w:sz w:val="20"/>
                <w:szCs w:val="18"/>
              </w:rPr>
              <w:t>3.</w:t>
            </w:r>
          </w:p>
        </w:tc>
        <w:tc>
          <w:tcPr>
            <w:tcW w:w="14106" w:type="dxa"/>
            <w:gridSpan w:val="6"/>
            <w:shd w:val="clear" w:color="auto" w:fill="B8CCE4" w:themeFill="accent1" w:themeFillTint="66"/>
            <w:noWrap/>
            <w:vAlign w:val="center"/>
            <w:hideMark/>
          </w:tcPr>
          <w:p w14:paraId="00C49B41" w14:textId="77777777" w:rsidR="00903466" w:rsidRPr="00A826E0" w:rsidRDefault="00903466" w:rsidP="00903466">
            <w:pPr>
              <w:spacing w:before="0" w:beforeAutospacing="0" w:after="0" w:afterAutospacing="0"/>
              <w:rPr>
                <w:rFonts w:cs="Arial"/>
                <w:b/>
                <w:sz w:val="20"/>
                <w:szCs w:val="18"/>
              </w:rPr>
            </w:pPr>
            <w:r w:rsidRPr="00A826E0">
              <w:rPr>
                <w:rFonts w:cs="Arial"/>
                <w:b/>
                <w:sz w:val="20"/>
                <w:szCs w:val="18"/>
              </w:rPr>
              <w:t>Gestion des incidents et reporting</w:t>
            </w:r>
          </w:p>
        </w:tc>
      </w:tr>
      <w:tr w:rsidR="00903466" w:rsidRPr="001148E2" w14:paraId="7B55461D"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2A51A07B"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t xml:space="preserve">3.1 </w:t>
            </w:r>
          </w:p>
        </w:tc>
        <w:tc>
          <w:tcPr>
            <w:tcW w:w="10211" w:type="dxa"/>
            <w:gridSpan w:val="2"/>
            <w:shd w:val="clear" w:color="000000" w:fill="DDEBF7"/>
            <w:noWrap/>
            <w:vAlign w:val="center"/>
            <w:hideMark/>
          </w:tcPr>
          <w:p w14:paraId="1886657E"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Les émetteurs doivent disposer d’un processus permettant de traiter, suivre et gérer les incidents de sécurité. Un tableau de bord de synthèse doit être régulièrement remis aux instances dirigeantes.</w:t>
            </w:r>
          </w:p>
        </w:tc>
        <w:tc>
          <w:tcPr>
            <w:tcW w:w="1350" w:type="dxa"/>
            <w:gridSpan w:val="2"/>
            <w:shd w:val="clear" w:color="000000" w:fill="DDEBF7"/>
            <w:vAlign w:val="center"/>
            <w:hideMark/>
          </w:tcPr>
          <w:p w14:paraId="76F04396"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A5DCB82" w14:textId="77777777" w:rsidR="00903466" w:rsidRPr="00A5045C" w:rsidRDefault="00903466" w:rsidP="00903466">
            <w:pPr>
              <w:spacing w:before="0" w:beforeAutospacing="0" w:after="0" w:afterAutospacing="0"/>
              <w:jc w:val="center"/>
              <w:rPr>
                <w:rFonts w:cs="Arial"/>
                <w:szCs w:val="18"/>
              </w:rPr>
            </w:pPr>
          </w:p>
        </w:tc>
      </w:tr>
      <w:tr w:rsidR="0081189C" w:rsidRPr="001148E2" w14:paraId="6F2DC1D1"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116FCB89" w14:textId="77777777" w:rsidR="0081189C" w:rsidRPr="00A5045C" w:rsidRDefault="0081189C" w:rsidP="0081189C">
            <w:pPr>
              <w:jc w:val="center"/>
              <w:rPr>
                <w:rFonts w:cs="Arial"/>
                <w:szCs w:val="18"/>
              </w:rPr>
            </w:pPr>
          </w:p>
        </w:tc>
        <w:tc>
          <w:tcPr>
            <w:tcW w:w="10211" w:type="dxa"/>
            <w:gridSpan w:val="2"/>
            <w:shd w:val="clear" w:color="000000" w:fill="FFFFFF"/>
            <w:noWrap/>
            <w:vAlign w:val="center"/>
            <w:hideMark/>
          </w:tcPr>
          <w:p w14:paraId="08E00A22"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s’assure :</w:t>
            </w:r>
          </w:p>
        </w:tc>
        <w:tc>
          <w:tcPr>
            <w:tcW w:w="1350" w:type="dxa"/>
            <w:gridSpan w:val="2"/>
            <w:vMerge w:val="restart"/>
            <w:shd w:val="clear" w:color="auto" w:fill="FFC000"/>
            <w:vAlign w:val="center"/>
            <w:hideMark/>
          </w:tcPr>
          <w:p w14:paraId="15F17925" w14:textId="12FA23E0"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BC13C28" w14:textId="7962C652"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903466" w:rsidRPr="001148E2" w14:paraId="4F2DEB63"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49714F5C"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1AFE4D92" w14:textId="77777777" w:rsidR="00903466" w:rsidRPr="00A5045C" w:rsidRDefault="00903466" w:rsidP="00903466">
            <w:pPr>
              <w:spacing w:before="0" w:beforeAutospacing="0" w:after="0" w:afterAutospacing="0"/>
              <w:jc w:val="both"/>
              <w:rPr>
                <w:rFonts w:cs="Arial"/>
                <w:szCs w:val="18"/>
              </w:rPr>
            </w:pPr>
            <w:r w:rsidRPr="00A5045C">
              <w:rPr>
                <w:rFonts w:cs="Arial"/>
                <w:szCs w:val="18"/>
              </w:rPr>
              <w:t>a) Que les procédures d’enregistrement et de remontée des incidents de sécurité sont correctement documentées avec notamment la classification des niveaux de criticité des incidents et la liste à jour des intervenants ;</w:t>
            </w:r>
          </w:p>
        </w:tc>
        <w:tc>
          <w:tcPr>
            <w:tcW w:w="1350" w:type="dxa"/>
            <w:gridSpan w:val="2"/>
            <w:vMerge/>
            <w:shd w:val="clear" w:color="auto" w:fill="FFC000"/>
            <w:vAlign w:val="center"/>
            <w:hideMark/>
          </w:tcPr>
          <w:p w14:paraId="28F2A904"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004AC32B" w14:textId="77777777" w:rsidR="00903466" w:rsidRPr="00A5045C" w:rsidRDefault="00903466" w:rsidP="00903466">
            <w:pPr>
              <w:spacing w:before="0" w:beforeAutospacing="0" w:after="0" w:afterAutospacing="0"/>
              <w:rPr>
                <w:rFonts w:cs="Arial"/>
                <w:szCs w:val="18"/>
              </w:rPr>
            </w:pPr>
          </w:p>
        </w:tc>
      </w:tr>
      <w:tr w:rsidR="00903466" w:rsidRPr="001148E2" w14:paraId="0A3972D1"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2FAC1999"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785EC245" w14:textId="77777777" w:rsidR="00903466" w:rsidRPr="00A5045C" w:rsidRDefault="00903466" w:rsidP="00903466">
            <w:pPr>
              <w:spacing w:before="0" w:beforeAutospacing="0" w:after="0" w:afterAutospacing="0"/>
              <w:jc w:val="both"/>
              <w:rPr>
                <w:rFonts w:cs="Arial"/>
                <w:szCs w:val="18"/>
              </w:rPr>
            </w:pPr>
            <w:r w:rsidRPr="00A5045C">
              <w:rPr>
                <w:rFonts w:cs="Arial"/>
                <w:szCs w:val="18"/>
              </w:rPr>
              <w:t>b) De la fiabilité du processus de remontée, d’enregistrement et de pilotage des incidents de sécurité ;</w:t>
            </w:r>
          </w:p>
        </w:tc>
        <w:tc>
          <w:tcPr>
            <w:tcW w:w="1350" w:type="dxa"/>
            <w:gridSpan w:val="2"/>
            <w:vMerge/>
            <w:shd w:val="clear" w:color="auto" w:fill="FFC000"/>
            <w:vAlign w:val="center"/>
            <w:hideMark/>
          </w:tcPr>
          <w:p w14:paraId="664FBA0A"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1BA0FDE8" w14:textId="77777777" w:rsidR="00903466" w:rsidRPr="00A5045C" w:rsidRDefault="00903466" w:rsidP="00903466">
            <w:pPr>
              <w:spacing w:before="0" w:beforeAutospacing="0" w:after="0" w:afterAutospacing="0"/>
              <w:rPr>
                <w:rFonts w:cs="Arial"/>
                <w:szCs w:val="18"/>
              </w:rPr>
            </w:pPr>
          </w:p>
        </w:tc>
      </w:tr>
      <w:tr w:rsidR="00903466" w:rsidRPr="001148E2" w14:paraId="25A9FD0F"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58F684FB"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04586ED9" w14:textId="77777777" w:rsidR="00903466" w:rsidRPr="00A5045C" w:rsidRDefault="00903466" w:rsidP="00903466">
            <w:pPr>
              <w:spacing w:before="0" w:beforeAutospacing="0" w:after="0" w:afterAutospacing="0"/>
              <w:jc w:val="both"/>
              <w:rPr>
                <w:rFonts w:cs="Arial"/>
                <w:szCs w:val="18"/>
              </w:rPr>
            </w:pPr>
            <w:r w:rsidRPr="00A5045C">
              <w:rPr>
                <w:rFonts w:cs="Arial"/>
                <w:szCs w:val="18"/>
              </w:rPr>
              <w:t>c) De la mise en œuvre de plans d’actions correctifs ;</w:t>
            </w:r>
          </w:p>
        </w:tc>
        <w:tc>
          <w:tcPr>
            <w:tcW w:w="1350" w:type="dxa"/>
            <w:gridSpan w:val="2"/>
            <w:vMerge/>
            <w:shd w:val="clear" w:color="auto" w:fill="FFC000"/>
            <w:vAlign w:val="center"/>
            <w:hideMark/>
          </w:tcPr>
          <w:p w14:paraId="4FA13041"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75C51B01" w14:textId="77777777" w:rsidR="00903466" w:rsidRPr="00A5045C" w:rsidRDefault="00903466" w:rsidP="00903466">
            <w:pPr>
              <w:spacing w:before="0" w:beforeAutospacing="0" w:after="0" w:afterAutospacing="0"/>
              <w:rPr>
                <w:rFonts w:cs="Arial"/>
                <w:szCs w:val="18"/>
              </w:rPr>
            </w:pPr>
          </w:p>
        </w:tc>
      </w:tr>
      <w:tr w:rsidR="00903466" w:rsidRPr="001148E2" w14:paraId="142BD943"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055E007E" w14:textId="77777777" w:rsidR="00903466" w:rsidRPr="00A5045C" w:rsidRDefault="00903466" w:rsidP="00903466">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0245A5AA" w14:textId="77777777" w:rsidR="00903466" w:rsidRPr="00A5045C" w:rsidRDefault="00903466" w:rsidP="00903466">
            <w:pPr>
              <w:spacing w:before="0" w:beforeAutospacing="0" w:after="0" w:afterAutospacing="0"/>
              <w:jc w:val="both"/>
              <w:rPr>
                <w:rFonts w:cs="Arial"/>
                <w:szCs w:val="18"/>
              </w:rPr>
            </w:pPr>
            <w:r w:rsidRPr="00A5045C">
              <w:rPr>
                <w:rFonts w:cs="Arial"/>
                <w:szCs w:val="18"/>
              </w:rPr>
              <w:t>d) De la transmission périodique aux instances dirigeantes d'un tableau de suivi des incidents et de la mise en œuvre des plans d'actions correctifs.</w:t>
            </w:r>
          </w:p>
        </w:tc>
        <w:tc>
          <w:tcPr>
            <w:tcW w:w="1350" w:type="dxa"/>
            <w:gridSpan w:val="2"/>
            <w:vMerge/>
            <w:shd w:val="clear" w:color="auto" w:fill="FFC000"/>
            <w:vAlign w:val="center"/>
            <w:hideMark/>
          </w:tcPr>
          <w:p w14:paraId="44F10D99"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6EA3922E" w14:textId="77777777" w:rsidR="00903466" w:rsidRPr="00A5045C" w:rsidRDefault="00903466" w:rsidP="00903466">
            <w:pPr>
              <w:spacing w:before="0" w:beforeAutospacing="0" w:after="0" w:afterAutospacing="0"/>
              <w:rPr>
                <w:rFonts w:cs="Arial"/>
                <w:szCs w:val="18"/>
              </w:rPr>
            </w:pPr>
          </w:p>
        </w:tc>
      </w:tr>
      <w:tr w:rsidR="00903466" w:rsidRPr="001148E2" w14:paraId="48E7D611"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713A9E34"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t xml:space="preserve">3.2 </w:t>
            </w:r>
          </w:p>
        </w:tc>
        <w:tc>
          <w:tcPr>
            <w:tcW w:w="10211" w:type="dxa"/>
            <w:gridSpan w:val="2"/>
            <w:shd w:val="clear" w:color="000000" w:fill="DDEBF7"/>
            <w:noWrap/>
            <w:vAlign w:val="center"/>
            <w:hideMark/>
          </w:tcPr>
          <w:p w14:paraId="70D419F0"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 xml:space="preserve">Une procédure doit être en place permettant de rapporter un incident à la Banque de France lors de la détection d’un incident de sécurité majeur lié à la gestion des </w:t>
            </w:r>
            <w:r>
              <w:rPr>
                <w:rFonts w:cs="Arial"/>
                <w:b/>
                <w:bCs/>
                <w:szCs w:val="18"/>
              </w:rPr>
              <w:t>TSPD/IPS</w:t>
            </w:r>
            <w:r w:rsidRPr="00A5045C">
              <w:rPr>
                <w:rFonts w:cs="Arial"/>
                <w:b/>
                <w:bCs/>
                <w:szCs w:val="18"/>
              </w:rPr>
              <w:t>.</w:t>
            </w:r>
          </w:p>
        </w:tc>
        <w:tc>
          <w:tcPr>
            <w:tcW w:w="1350" w:type="dxa"/>
            <w:gridSpan w:val="2"/>
            <w:shd w:val="clear" w:color="000000" w:fill="DDEBF7"/>
            <w:vAlign w:val="center"/>
            <w:hideMark/>
          </w:tcPr>
          <w:p w14:paraId="13F3FF81"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129DC052" w14:textId="77777777" w:rsidR="00903466" w:rsidRPr="00A5045C" w:rsidRDefault="00903466" w:rsidP="00903466">
            <w:pPr>
              <w:spacing w:before="0" w:beforeAutospacing="0" w:after="0" w:afterAutospacing="0"/>
              <w:jc w:val="center"/>
              <w:rPr>
                <w:rFonts w:cs="Arial"/>
                <w:szCs w:val="18"/>
              </w:rPr>
            </w:pPr>
          </w:p>
        </w:tc>
      </w:tr>
      <w:tr w:rsidR="0081189C" w:rsidRPr="001148E2" w14:paraId="110C6B35"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010C2093" w14:textId="77777777" w:rsidR="0081189C" w:rsidRPr="00A5045C" w:rsidRDefault="0081189C" w:rsidP="0081189C">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494A4513" w14:textId="77777777" w:rsidR="0081189C" w:rsidRPr="00A5045C" w:rsidRDefault="0081189C" w:rsidP="0081189C">
            <w:pPr>
              <w:spacing w:before="0" w:beforeAutospacing="0" w:after="0" w:afterAutospacing="0"/>
              <w:jc w:val="both"/>
              <w:rPr>
                <w:rFonts w:cs="Arial"/>
                <w:szCs w:val="18"/>
              </w:rPr>
            </w:pPr>
            <w:r w:rsidRPr="00A5045C">
              <w:rPr>
                <w:rFonts w:cs="Arial"/>
                <w:szCs w:val="18"/>
              </w:rPr>
              <w:t>L’émetteur s’assure que la procédure de remontée des incidents de sécurité majeurs à la Banque de France est documentée avec notamment la liste à jour des intervenants et contacts.</w:t>
            </w:r>
          </w:p>
        </w:tc>
        <w:tc>
          <w:tcPr>
            <w:tcW w:w="1350" w:type="dxa"/>
            <w:gridSpan w:val="2"/>
            <w:shd w:val="clear" w:color="auto" w:fill="FFC000"/>
            <w:vAlign w:val="center"/>
            <w:hideMark/>
          </w:tcPr>
          <w:p w14:paraId="4148C10C" w14:textId="7CB02557"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1F22B1D1" w14:textId="609DF8E3" w:rsidR="0081189C" w:rsidRPr="00A5045C" w:rsidRDefault="0081189C" w:rsidP="0081189C">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903466" w:rsidRPr="001148E2" w14:paraId="77826464"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0"/>
        </w:trPr>
        <w:tc>
          <w:tcPr>
            <w:tcW w:w="646" w:type="dxa"/>
            <w:gridSpan w:val="2"/>
            <w:shd w:val="clear" w:color="000000" w:fill="DDEBF7"/>
            <w:noWrap/>
            <w:vAlign w:val="center"/>
            <w:hideMark/>
          </w:tcPr>
          <w:p w14:paraId="24798049"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t xml:space="preserve">3.3 </w:t>
            </w:r>
          </w:p>
        </w:tc>
        <w:tc>
          <w:tcPr>
            <w:tcW w:w="10211" w:type="dxa"/>
            <w:gridSpan w:val="2"/>
            <w:shd w:val="clear" w:color="000000" w:fill="DDEBF7"/>
            <w:noWrap/>
            <w:vAlign w:val="center"/>
            <w:hideMark/>
          </w:tcPr>
          <w:p w14:paraId="643B348D"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 xml:space="preserve">L’émetteur dispose de procédures adaptées à la gestion des types d’incidents identifiés et d’un plan de secours pour les activités de traitement du </w:t>
            </w:r>
            <w:r>
              <w:rPr>
                <w:rFonts w:cs="Arial"/>
                <w:b/>
                <w:bCs/>
                <w:szCs w:val="18"/>
              </w:rPr>
              <w:t>TSPD/IPS</w:t>
            </w:r>
            <w:r w:rsidRPr="00A5045C">
              <w:rPr>
                <w:rFonts w:cs="Arial"/>
                <w:b/>
                <w:bCs/>
                <w:szCs w:val="18"/>
              </w:rPr>
              <w:t>. Ce plan prévoit notamment le périmètre et les modalités de sauvegarde des données, les modalités techniques et organisationnelles du passage en secours, les conditions du fonctionnement (mode normal ou dégradé), les réacheminements éventuels de flux physiques ou logiques et le retour au fonctionnement nominal. En cas de recours à une prestation externalisée, le plan de secours doit prendre en compte la capacité du prestataire à fournir le service rendu.</w:t>
            </w:r>
          </w:p>
        </w:tc>
        <w:tc>
          <w:tcPr>
            <w:tcW w:w="1350" w:type="dxa"/>
            <w:gridSpan w:val="2"/>
            <w:shd w:val="clear" w:color="000000" w:fill="DDEBF7"/>
            <w:vAlign w:val="center"/>
            <w:hideMark/>
          </w:tcPr>
          <w:p w14:paraId="4E5C02BA"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AE17CED" w14:textId="77777777" w:rsidR="00903466" w:rsidRPr="00A5045C" w:rsidRDefault="00903466" w:rsidP="00903466">
            <w:pPr>
              <w:spacing w:before="0" w:beforeAutospacing="0" w:after="0" w:afterAutospacing="0"/>
              <w:jc w:val="center"/>
              <w:rPr>
                <w:rFonts w:cs="Arial"/>
                <w:szCs w:val="18"/>
              </w:rPr>
            </w:pPr>
          </w:p>
        </w:tc>
      </w:tr>
      <w:tr w:rsidR="00E23B06" w:rsidRPr="001148E2" w14:paraId="616F791D" w14:textId="77777777" w:rsidTr="009A5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shd w:val="clear" w:color="auto" w:fill="DBE5F1" w:themeFill="accent1" w:themeFillTint="33"/>
            <w:noWrap/>
            <w:vAlign w:val="center"/>
          </w:tcPr>
          <w:p w14:paraId="6B6CB0C7" w14:textId="05A54466" w:rsidR="00E23B06" w:rsidRPr="00A5045C" w:rsidRDefault="00E23B06" w:rsidP="00E23B06">
            <w:pPr>
              <w:spacing w:before="0" w:after="0"/>
              <w:jc w:val="center"/>
              <w:rPr>
                <w:rFonts w:cs="Arial"/>
                <w:szCs w:val="18"/>
              </w:rPr>
            </w:pPr>
            <w:r>
              <w:rPr>
                <w:rFonts w:cs="Arial"/>
                <w:szCs w:val="18"/>
              </w:rPr>
              <w:t>3.3.1.</w:t>
            </w:r>
          </w:p>
        </w:tc>
        <w:tc>
          <w:tcPr>
            <w:tcW w:w="10211" w:type="dxa"/>
            <w:gridSpan w:val="2"/>
            <w:shd w:val="clear" w:color="auto" w:fill="DBE5F1" w:themeFill="accent1" w:themeFillTint="33"/>
            <w:noWrap/>
            <w:vAlign w:val="center"/>
          </w:tcPr>
          <w:p w14:paraId="43C6BE86" w14:textId="7DBD2C28" w:rsidR="00E23B06" w:rsidRDefault="00E23B06" w:rsidP="00E23B06">
            <w:pPr>
              <w:spacing w:before="0" w:beforeAutospacing="0" w:after="0" w:afterAutospacing="0"/>
              <w:jc w:val="both"/>
              <w:rPr>
                <w:rFonts w:cs="Arial"/>
                <w:szCs w:val="18"/>
              </w:rPr>
            </w:pPr>
            <w:r>
              <w:rPr>
                <w:rFonts w:cs="Arial"/>
                <w:szCs w:val="18"/>
              </w:rPr>
              <w:t>L</w:t>
            </w:r>
            <w:r w:rsidRPr="00A5045C">
              <w:rPr>
                <w:rFonts w:cs="Arial"/>
                <w:szCs w:val="18"/>
              </w:rPr>
              <w:t>’émetteur dispose d’une procédure de gestion des sauvegardes de données. Il s’assure en particulier :</w:t>
            </w:r>
          </w:p>
        </w:tc>
        <w:tc>
          <w:tcPr>
            <w:tcW w:w="1350" w:type="dxa"/>
            <w:gridSpan w:val="2"/>
            <w:shd w:val="clear" w:color="auto" w:fill="DBE5F1" w:themeFill="accent1" w:themeFillTint="33"/>
            <w:vAlign w:val="center"/>
          </w:tcPr>
          <w:p w14:paraId="3A87FAD0" w14:textId="77777777" w:rsidR="00E23B06" w:rsidRDefault="00E23B06" w:rsidP="00E23B06">
            <w:pPr>
              <w:spacing w:before="0" w:beforeAutospacing="0" w:after="0" w:afterAutospacing="0"/>
              <w:jc w:val="center"/>
              <w:rPr>
                <w:rFonts w:cs="Arial"/>
                <w:szCs w:val="18"/>
              </w:rPr>
            </w:pPr>
          </w:p>
        </w:tc>
        <w:tc>
          <w:tcPr>
            <w:tcW w:w="2545" w:type="dxa"/>
            <w:gridSpan w:val="2"/>
            <w:shd w:val="clear" w:color="auto" w:fill="DBE5F1" w:themeFill="accent1" w:themeFillTint="33"/>
            <w:vAlign w:val="center"/>
          </w:tcPr>
          <w:p w14:paraId="0DADD921" w14:textId="77777777" w:rsidR="00E23B06" w:rsidRDefault="00E23B06" w:rsidP="00E23B06">
            <w:pPr>
              <w:spacing w:before="0" w:beforeAutospacing="0" w:after="0" w:afterAutospacing="0"/>
              <w:jc w:val="center"/>
              <w:rPr>
                <w:rFonts w:cs="Arial"/>
                <w:color w:val="000000"/>
                <w:szCs w:val="18"/>
              </w:rPr>
            </w:pPr>
          </w:p>
        </w:tc>
      </w:tr>
      <w:tr w:rsidR="0081189C" w:rsidRPr="001148E2" w14:paraId="50CA4C31"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val="restart"/>
            <w:shd w:val="clear" w:color="000000" w:fill="FFFFFF"/>
            <w:noWrap/>
            <w:vAlign w:val="center"/>
            <w:hideMark/>
          </w:tcPr>
          <w:p w14:paraId="0352D542" w14:textId="77777777" w:rsidR="0081189C" w:rsidRPr="00A5045C" w:rsidRDefault="0081189C" w:rsidP="0081189C">
            <w:pPr>
              <w:spacing w:before="0" w:after="0"/>
              <w:jc w:val="center"/>
              <w:rPr>
                <w:rFonts w:cs="Arial"/>
                <w:szCs w:val="18"/>
              </w:rPr>
            </w:pPr>
          </w:p>
        </w:tc>
        <w:tc>
          <w:tcPr>
            <w:tcW w:w="10211" w:type="dxa"/>
            <w:gridSpan w:val="2"/>
            <w:shd w:val="clear" w:color="000000" w:fill="FFFFFF"/>
            <w:noWrap/>
            <w:vAlign w:val="center"/>
            <w:hideMark/>
          </w:tcPr>
          <w:p w14:paraId="1BCBF1C9" w14:textId="77777777" w:rsidR="0081189C" w:rsidRPr="00A5045C" w:rsidRDefault="0081189C" w:rsidP="0081189C">
            <w:pPr>
              <w:spacing w:before="0" w:beforeAutospacing="0" w:after="0" w:afterAutospacing="0"/>
              <w:jc w:val="both"/>
              <w:rPr>
                <w:rFonts w:cs="Arial"/>
                <w:szCs w:val="18"/>
              </w:rPr>
            </w:pPr>
            <w:r w:rsidRPr="00A5045C">
              <w:rPr>
                <w:rFonts w:cs="Arial"/>
                <w:szCs w:val="18"/>
              </w:rPr>
              <w:t>a) De la définition du périmètre des sauvegardes et de la nature des données concernées (par exemple: applications, données, codes sources, paramétrages, etc.)</w:t>
            </w:r>
          </w:p>
        </w:tc>
        <w:tc>
          <w:tcPr>
            <w:tcW w:w="1350" w:type="dxa"/>
            <w:gridSpan w:val="2"/>
            <w:vMerge w:val="restart"/>
            <w:shd w:val="clear" w:color="auto" w:fill="FFC000"/>
            <w:vAlign w:val="center"/>
            <w:hideMark/>
          </w:tcPr>
          <w:p w14:paraId="7A077752" w14:textId="42B985AB"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0B798AB1" w14:textId="3AC4CAAB"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78DFD75"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vMerge/>
            <w:shd w:val="clear" w:color="000000" w:fill="FFFFFF"/>
            <w:noWrap/>
            <w:vAlign w:val="center"/>
            <w:hideMark/>
          </w:tcPr>
          <w:p w14:paraId="7BD9CDDC"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6DBB7DDC"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Du type de sauvegarde adéquat en fonction de la quantité et de la nature des données concernées. Le type de sauvegarde doit préciser la fréquence (par exemple: duplication en temps réel, quotidienne, hebdomadaire, etc.), la méthode de sauvegarde utilisée (par exemple: synchrone, différentielle, incrémentielle, etc.) ainsi que la localisation et le type de support employé (par exemple: bandes magnétiques externalisées, etc.) ;</w:t>
            </w:r>
          </w:p>
        </w:tc>
        <w:tc>
          <w:tcPr>
            <w:tcW w:w="1350" w:type="dxa"/>
            <w:gridSpan w:val="2"/>
            <w:vMerge/>
            <w:shd w:val="clear" w:color="auto" w:fill="FFC000"/>
            <w:vAlign w:val="center"/>
            <w:hideMark/>
          </w:tcPr>
          <w:p w14:paraId="4CD8546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22A305C" w14:textId="77777777" w:rsidR="00545AF2" w:rsidRPr="00A5045C" w:rsidRDefault="00545AF2" w:rsidP="00545AF2">
            <w:pPr>
              <w:spacing w:before="0" w:beforeAutospacing="0" w:after="0" w:afterAutospacing="0"/>
              <w:rPr>
                <w:rFonts w:cs="Arial"/>
                <w:szCs w:val="18"/>
              </w:rPr>
            </w:pPr>
          </w:p>
        </w:tc>
      </w:tr>
      <w:tr w:rsidR="00545AF2" w:rsidRPr="001148E2" w14:paraId="4054F042"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2D4148A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3C8CC54C"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Que les procédures de sauvegarde et les modalités de conservation des données sauvegardées doivent garantir le même niveau de sécurité (intégrité et confidentialité) que pour les données de production;</w:t>
            </w:r>
          </w:p>
        </w:tc>
        <w:tc>
          <w:tcPr>
            <w:tcW w:w="1350" w:type="dxa"/>
            <w:gridSpan w:val="2"/>
            <w:vMerge/>
            <w:shd w:val="clear" w:color="auto" w:fill="FFC000"/>
            <w:vAlign w:val="center"/>
            <w:hideMark/>
          </w:tcPr>
          <w:p w14:paraId="7F79C8E6"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E1D2D04" w14:textId="77777777" w:rsidR="00545AF2" w:rsidRPr="00A5045C" w:rsidRDefault="00545AF2" w:rsidP="00545AF2">
            <w:pPr>
              <w:spacing w:before="0" w:beforeAutospacing="0" w:after="0" w:afterAutospacing="0"/>
              <w:rPr>
                <w:rFonts w:cs="Arial"/>
                <w:szCs w:val="18"/>
              </w:rPr>
            </w:pPr>
          </w:p>
        </w:tc>
      </w:tr>
      <w:tr w:rsidR="00545AF2" w:rsidRPr="001148E2" w14:paraId="5E3C74E6"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591ECEB"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1A3ABE27" w14:textId="77777777" w:rsidR="00545AF2" w:rsidRPr="00A5045C" w:rsidRDefault="00545AF2" w:rsidP="00545AF2">
            <w:pPr>
              <w:spacing w:before="0" w:beforeAutospacing="0" w:after="0" w:afterAutospacing="0"/>
              <w:jc w:val="both"/>
              <w:rPr>
                <w:rFonts w:cs="Arial"/>
                <w:szCs w:val="18"/>
              </w:rPr>
            </w:pPr>
            <w:r w:rsidRPr="00A5045C">
              <w:rPr>
                <w:rFonts w:cs="Arial"/>
                <w:szCs w:val="18"/>
              </w:rPr>
              <w:t>d) Que les volumes et les durées de sauvegarde doivent être suivis afin d’anticiper les limites en termes de capacité et, le cas échéant, de faire évoluer les moyens de sauvegarde ;</w:t>
            </w:r>
          </w:p>
        </w:tc>
        <w:tc>
          <w:tcPr>
            <w:tcW w:w="1350" w:type="dxa"/>
            <w:gridSpan w:val="2"/>
            <w:vMerge/>
            <w:shd w:val="clear" w:color="auto" w:fill="FFC000"/>
            <w:vAlign w:val="center"/>
            <w:hideMark/>
          </w:tcPr>
          <w:p w14:paraId="5A9D9C48"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B81663F" w14:textId="77777777" w:rsidR="00545AF2" w:rsidRPr="00A5045C" w:rsidRDefault="00545AF2" w:rsidP="00545AF2">
            <w:pPr>
              <w:spacing w:before="0" w:beforeAutospacing="0" w:after="0" w:afterAutospacing="0"/>
              <w:rPr>
                <w:rFonts w:cs="Arial"/>
                <w:szCs w:val="18"/>
              </w:rPr>
            </w:pPr>
          </w:p>
        </w:tc>
      </w:tr>
      <w:tr w:rsidR="00545AF2" w:rsidRPr="001148E2" w14:paraId="51A1CD64"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505D78B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CEBEFAD" w14:textId="77777777" w:rsidR="00545AF2" w:rsidRPr="00A5045C" w:rsidRDefault="00545AF2" w:rsidP="00545AF2">
            <w:pPr>
              <w:spacing w:before="0" w:beforeAutospacing="0" w:after="0" w:afterAutospacing="0"/>
              <w:jc w:val="both"/>
              <w:rPr>
                <w:rFonts w:cs="Arial"/>
                <w:szCs w:val="18"/>
              </w:rPr>
            </w:pPr>
            <w:r w:rsidRPr="00A5045C">
              <w:rPr>
                <w:rFonts w:cs="Arial"/>
                <w:szCs w:val="18"/>
              </w:rPr>
              <w:t>e) Que la procédure de sauvegarde doit être revue et testée à chaque modification du système d’information (nouvelles applications,  mises en production, etc.).</w:t>
            </w:r>
          </w:p>
        </w:tc>
        <w:tc>
          <w:tcPr>
            <w:tcW w:w="1350" w:type="dxa"/>
            <w:gridSpan w:val="2"/>
            <w:vMerge/>
            <w:shd w:val="clear" w:color="auto" w:fill="FFC000"/>
            <w:vAlign w:val="center"/>
            <w:hideMark/>
          </w:tcPr>
          <w:p w14:paraId="72567D5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14377E" w14:textId="77777777" w:rsidR="00545AF2" w:rsidRPr="00A5045C" w:rsidRDefault="00545AF2" w:rsidP="00545AF2">
            <w:pPr>
              <w:spacing w:before="0" w:beforeAutospacing="0" w:after="0" w:afterAutospacing="0"/>
              <w:rPr>
                <w:rFonts w:cs="Arial"/>
                <w:szCs w:val="18"/>
              </w:rPr>
            </w:pPr>
          </w:p>
        </w:tc>
      </w:tr>
      <w:tr w:rsidR="00545AF2" w:rsidRPr="001148E2" w14:paraId="42C34F5B" w14:textId="77777777" w:rsidTr="009A5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shd w:val="clear" w:color="auto" w:fill="DBE5F1" w:themeFill="accent1" w:themeFillTint="33"/>
            <w:noWrap/>
            <w:vAlign w:val="center"/>
          </w:tcPr>
          <w:p w14:paraId="7196B4AD" w14:textId="3DACDC86" w:rsidR="00545AF2" w:rsidRPr="00A5045C" w:rsidRDefault="00545AF2" w:rsidP="00545AF2">
            <w:pPr>
              <w:spacing w:before="0" w:after="0"/>
              <w:jc w:val="center"/>
              <w:rPr>
                <w:rFonts w:cs="Arial"/>
                <w:szCs w:val="18"/>
              </w:rPr>
            </w:pPr>
            <w:r>
              <w:rPr>
                <w:rFonts w:cs="Arial"/>
                <w:szCs w:val="18"/>
              </w:rPr>
              <w:t>3.3.2.</w:t>
            </w:r>
          </w:p>
        </w:tc>
        <w:tc>
          <w:tcPr>
            <w:tcW w:w="10211" w:type="dxa"/>
            <w:gridSpan w:val="2"/>
            <w:shd w:val="clear" w:color="auto" w:fill="DBE5F1" w:themeFill="accent1" w:themeFillTint="33"/>
            <w:noWrap/>
            <w:vAlign w:val="center"/>
          </w:tcPr>
          <w:p w14:paraId="3D9E322E" w14:textId="7714D030" w:rsidR="00545AF2" w:rsidRPr="00A5045C" w:rsidRDefault="00545AF2" w:rsidP="00545AF2">
            <w:pPr>
              <w:spacing w:before="0" w:beforeAutospacing="0" w:after="0" w:afterAutospacing="0"/>
              <w:jc w:val="both"/>
              <w:rPr>
                <w:rFonts w:cs="Arial"/>
                <w:szCs w:val="18"/>
              </w:rPr>
            </w:pPr>
            <w:r w:rsidRPr="00A5045C">
              <w:rPr>
                <w:rFonts w:cs="Arial"/>
                <w:szCs w:val="18"/>
              </w:rPr>
              <w:t>L’émetteur dispose d’un plan de continuité des activités formalisé et testé permettant une reprise des activités selon une stratégie prédéfinie en fonction des scénarios de sinistres identifiés. L’émetteur de TS</w:t>
            </w:r>
            <w:r>
              <w:rPr>
                <w:rFonts w:cs="Arial"/>
                <w:szCs w:val="18"/>
              </w:rPr>
              <w:t>PD/IPS</w:t>
            </w:r>
            <w:r w:rsidRPr="00A5045C">
              <w:rPr>
                <w:rFonts w:cs="Arial"/>
                <w:szCs w:val="18"/>
              </w:rPr>
              <w:t xml:space="preserve"> s’assure à ce titre :</w:t>
            </w:r>
          </w:p>
        </w:tc>
        <w:tc>
          <w:tcPr>
            <w:tcW w:w="1350" w:type="dxa"/>
            <w:gridSpan w:val="2"/>
            <w:shd w:val="clear" w:color="auto" w:fill="DBE5F1" w:themeFill="accent1" w:themeFillTint="33"/>
            <w:vAlign w:val="center"/>
          </w:tcPr>
          <w:p w14:paraId="78F7E6C0" w14:textId="77777777" w:rsidR="00545AF2" w:rsidRPr="00A5045C" w:rsidRDefault="00545AF2" w:rsidP="00545AF2">
            <w:pPr>
              <w:spacing w:before="0" w:beforeAutospacing="0" w:after="0" w:afterAutospacing="0"/>
              <w:rPr>
                <w:rFonts w:cs="Arial"/>
                <w:szCs w:val="18"/>
              </w:rPr>
            </w:pPr>
          </w:p>
        </w:tc>
        <w:tc>
          <w:tcPr>
            <w:tcW w:w="2545" w:type="dxa"/>
            <w:gridSpan w:val="2"/>
            <w:shd w:val="clear" w:color="auto" w:fill="DBE5F1" w:themeFill="accent1" w:themeFillTint="33"/>
            <w:vAlign w:val="center"/>
          </w:tcPr>
          <w:p w14:paraId="595C3DFF" w14:textId="77777777" w:rsidR="00545AF2" w:rsidRPr="00A5045C" w:rsidRDefault="00545AF2" w:rsidP="00545AF2">
            <w:pPr>
              <w:spacing w:before="0" w:beforeAutospacing="0" w:after="0" w:afterAutospacing="0"/>
              <w:rPr>
                <w:rFonts w:cs="Arial"/>
                <w:szCs w:val="18"/>
              </w:rPr>
            </w:pPr>
          </w:p>
        </w:tc>
      </w:tr>
      <w:tr w:rsidR="0081189C" w:rsidRPr="001148E2" w14:paraId="23E26F66"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val="restart"/>
            <w:shd w:val="clear" w:color="000000" w:fill="FFFFFF"/>
            <w:noWrap/>
            <w:vAlign w:val="center"/>
            <w:hideMark/>
          </w:tcPr>
          <w:p w14:paraId="29C448C7" w14:textId="77777777" w:rsidR="0081189C" w:rsidRPr="00A5045C" w:rsidRDefault="0081189C" w:rsidP="0081189C">
            <w:pPr>
              <w:spacing w:before="0" w:after="0"/>
              <w:jc w:val="center"/>
              <w:rPr>
                <w:rFonts w:cs="Arial"/>
                <w:szCs w:val="18"/>
              </w:rPr>
            </w:pPr>
          </w:p>
        </w:tc>
        <w:tc>
          <w:tcPr>
            <w:tcW w:w="10211" w:type="dxa"/>
            <w:gridSpan w:val="2"/>
            <w:shd w:val="clear" w:color="000000" w:fill="FFFFFF"/>
            <w:noWrap/>
            <w:vAlign w:val="center"/>
          </w:tcPr>
          <w:p w14:paraId="6A28C212" w14:textId="0BA3BAA9" w:rsidR="0081189C" w:rsidRPr="00A5045C" w:rsidRDefault="0081189C" w:rsidP="0081189C">
            <w:pPr>
              <w:spacing w:before="0" w:beforeAutospacing="0" w:after="0" w:afterAutospacing="0"/>
              <w:jc w:val="both"/>
              <w:rPr>
                <w:rFonts w:cs="Arial"/>
                <w:szCs w:val="18"/>
              </w:rPr>
            </w:pPr>
            <w:r w:rsidRPr="00A5045C">
              <w:rPr>
                <w:rFonts w:cs="Arial"/>
                <w:szCs w:val="18"/>
              </w:rPr>
              <w:t>a) de l’identification des scénarios de sinistres majeurs auxquels l’émetteur peut se retrouver confronté (à minima : indisponibilité du SI, indisponibilité des locaux et indisponibilité des ressources humaines) ;</w:t>
            </w:r>
          </w:p>
        </w:tc>
        <w:tc>
          <w:tcPr>
            <w:tcW w:w="1350" w:type="dxa"/>
            <w:gridSpan w:val="2"/>
            <w:vMerge w:val="restart"/>
            <w:shd w:val="clear" w:color="auto" w:fill="FFC000"/>
            <w:vAlign w:val="center"/>
            <w:hideMark/>
          </w:tcPr>
          <w:p w14:paraId="38AA2D31" w14:textId="12A92F5D"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39485EB" w14:textId="59A9AE6D" w:rsidR="0081189C" w:rsidRPr="00A5045C" w:rsidRDefault="0081189C" w:rsidP="0081189C">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19B35FE7"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40D86C9A"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49CB33E6" w14:textId="02528EE2" w:rsidR="00545AF2" w:rsidRPr="00A5045C" w:rsidRDefault="00545AF2" w:rsidP="00545AF2">
            <w:pPr>
              <w:spacing w:before="0" w:beforeAutospacing="0" w:after="0" w:afterAutospacing="0"/>
              <w:jc w:val="both"/>
              <w:rPr>
                <w:rFonts w:cs="Arial"/>
                <w:szCs w:val="18"/>
              </w:rPr>
            </w:pPr>
            <w:r w:rsidRPr="00A5045C">
              <w:rPr>
                <w:rFonts w:cs="Arial"/>
                <w:szCs w:val="18"/>
              </w:rPr>
              <w:t>b) de la définition pour chaque processus sensible de leur criticité au travers notamment de la Durée d’Indisponibilité Maximale Admissible (DIMA) et de la Perte de Donnée Maximale Admissible (PDMA) ;</w:t>
            </w:r>
          </w:p>
        </w:tc>
        <w:tc>
          <w:tcPr>
            <w:tcW w:w="1350" w:type="dxa"/>
            <w:gridSpan w:val="2"/>
            <w:vMerge/>
            <w:shd w:val="clear" w:color="auto" w:fill="FFC000"/>
            <w:vAlign w:val="center"/>
            <w:hideMark/>
          </w:tcPr>
          <w:p w14:paraId="1392E43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54A97EF" w14:textId="77777777" w:rsidR="00545AF2" w:rsidRPr="00A5045C" w:rsidRDefault="00545AF2" w:rsidP="00545AF2">
            <w:pPr>
              <w:spacing w:before="0" w:beforeAutospacing="0" w:after="0" w:afterAutospacing="0"/>
              <w:rPr>
                <w:rFonts w:cs="Arial"/>
                <w:szCs w:val="18"/>
              </w:rPr>
            </w:pPr>
          </w:p>
        </w:tc>
      </w:tr>
      <w:tr w:rsidR="00545AF2" w:rsidRPr="001148E2" w14:paraId="78EFD28A"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172DD9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7EAC8874" w14:textId="19558BCF" w:rsidR="00545AF2" w:rsidRPr="00A5045C" w:rsidRDefault="00545AF2" w:rsidP="00545AF2">
            <w:pPr>
              <w:spacing w:before="0" w:beforeAutospacing="0" w:after="0" w:afterAutospacing="0"/>
              <w:jc w:val="both"/>
              <w:rPr>
                <w:rFonts w:cs="Arial"/>
                <w:szCs w:val="18"/>
              </w:rPr>
            </w:pPr>
            <w:r w:rsidRPr="00A5045C">
              <w:rPr>
                <w:rFonts w:cs="Arial"/>
                <w:szCs w:val="18"/>
              </w:rPr>
              <w:t>c) de la reprise des objectifs du Plan de Continuité d’Activité (PCA) dans les contrats avec ses prestataires ;</w:t>
            </w:r>
          </w:p>
        </w:tc>
        <w:tc>
          <w:tcPr>
            <w:tcW w:w="1350" w:type="dxa"/>
            <w:gridSpan w:val="2"/>
            <w:vMerge/>
            <w:shd w:val="clear" w:color="auto" w:fill="FFC000"/>
            <w:vAlign w:val="center"/>
            <w:hideMark/>
          </w:tcPr>
          <w:p w14:paraId="3BFBC1B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443D283" w14:textId="77777777" w:rsidR="00545AF2" w:rsidRPr="00A5045C" w:rsidRDefault="00545AF2" w:rsidP="00545AF2">
            <w:pPr>
              <w:spacing w:before="0" w:beforeAutospacing="0" w:after="0" w:afterAutospacing="0"/>
              <w:rPr>
                <w:rFonts w:cs="Arial"/>
                <w:szCs w:val="18"/>
              </w:rPr>
            </w:pPr>
          </w:p>
        </w:tc>
      </w:tr>
      <w:tr w:rsidR="00545AF2" w:rsidRPr="001148E2" w14:paraId="084A90AD"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46" w:type="dxa"/>
            <w:gridSpan w:val="2"/>
            <w:vMerge/>
            <w:shd w:val="clear" w:color="000000" w:fill="FFFFFF"/>
            <w:noWrap/>
            <w:vAlign w:val="center"/>
            <w:hideMark/>
          </w:tcPr>
          <w:p w14:paraId="236CE80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40D292F" w14:textId="39DF457A" w:rsidR="00545AF2" w:rsidRPr="00A5045C" w:rsidRDefault="00545AF2" w:rsidP="00545AF2">
            <w:pPr>
              <w:spacing w:before="0" w:beforeAutospacing="0" w:after="0" w:afterAutospacing="0"/>
              <w:jc w:val="both"/>
              <w:rPr>
                <w:rFonts w:cs="Arial"/>
                <w:szCs w:val="18"/>
              </w:rPr>
            </w:pPr>
            <w:r w:rsidRPr="00A5045C">
              <w:rPr>
                <w:rFonts w:cs="Arial"/>
                <w:szCs w:val="18"/>
              </w:rPr>
              <w:t>d) de la disponibilité des moyens, en particulier techniques, logistiques et humains, qui sont nécessaires à leur continuité ;</w:t>
            </w:r>
          </w:p>
        </w:tc>
        <w:tc>
          <w:tcPr>
            <w:tcW w:w="1350" w:type="dxa"/>
            <w:gridSpan w:val="2"/>
            <w:vMerge/>
            <w:shd w:val="clear" w:color="auto" w:fill="FFC000"/>
            <w:vAlign w:val="center"/>
            <w:hideMark/>
          </w:tcPr>
          <w:p w14:paraId="27F1BA1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F7D62F7" w14:textId="77777777" w:rsidR="00545AF2" w:rsidRPr="00A5045C" w:rsidRDefault="00545AF2" w:rsidP="00545AF2">
            <w:pPr>
              <w:spacing w:before="0" w:beforeAutospacing="0" w:after="0" w:afterAutospacing="0"/>
              <w:rPr>
                <w:rFonts w:cs="Arial"/>
                <w:szCs w:val="18"/>
              </w:rPr>
            </w:pPr>
          </w:p>
        </w:tc>
      </w:tr>
      <w:tr w:rsidR="00545AF2" w:rsidRPr="001148E2" w14:paraId="5C6B1B90"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2F9CE28A"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30AB899F" w14:textId="51DE2069" w:rsidR="00545AF2" w:rsidRPr="00A5045C" w:rsidRDefault="00545AF2" w:rsidP="00545AF2">
            <w:pPr>
              <w:spacing w:before="0" w:beforeAutospacing="0" w:after="0" w:afterAutospacing="0"/>
              <w:jc w:val="both"/>
              <w:rPr>
                <w:rFonts w:cs="Arial"/>
                <w:szCs w:val="18"/>
              </w:rPr>
            </w:pPr>
            <w:r w:rsidRPr="00A5045C">
              <w:rPr>
                <w:rFonts w:cs="Arial"/>
                <w:szCs w:val="18"/>
              </w:rPr>
              <w:t>e) de l’existence d’un site de repli : celui-ci doit être accessible et disponible dans un délai compatible avec les besoins de reprise des activités, et sa localisation doit assurer un profil de risque différent du site principal ;</w:t>
            </w:r>
          </w:p>
        </w:tc>
        <w:tc>
          <w:tcPr>
            <w:tcW w:w="1350" w:type="dxa"/>
            <w:gridSpan w:val="2"/>
            <w:vMerge/>
            <w:shd w:val="clear" w:color="auto" w:fill="FFC000"/>
            <w:vAlign w:val="center"/>
            <w:hideMark/>
          </w:tcPr>
          <w:p w14:paraId="3FCB692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98E1FE9" w14:textId="77777777" w:rsidR="00545AF2" w:rsidRPr="00A5045C" w:rsidRDefault="00545AF2" w:rsidP="00545AF2">
            <w:pPr>
              <w:spacing w:before="0" w:beforeAutospacing="0" w:after="0" w:afterAutospacing="0"/>
              <w:rPr>
                <w:rFonts w:cs="Arial"/>
                <w:szCs w:val="18"/>
              </w:rPr>
            </w:pPr>
          </w:p>
        </w:tc>
      </w:tr>
      <w:tr w:rsidR="00545AF2" w:rsidRPr="001148E2" w14:paraId="69E7D518"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140D4F23"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DA1B3CD" w14:textId="58B10B18" w:rsidR="00545AF2" w:rsidRPr="00A5045C" w:rsidRDefault="00545AF2" w:rsidP="00545AF2">
            <w:pPr>
              <w:spacing w:before="0" w:beforeAutospacing="0" w:after="0" w:afterAutospacing="0"/>
              <w:jc w:val="both"/>
              <w:rPr>
                <w:rFonts w:cs="Arial"/>
                <w:szCs w:val="18"/>
              </w:rPr>
            </w:pPr>
            <w:r w:rsidRPr="00A5045C">
              <w:rPr>
                <w:rFonts w:cs="Arial"/>
                <w:szCs w:val="18"/>
              </w:rPr>
              <w:t xml:space="preserve">f) de la mise en place d’une cellule de crise chargée de coordonner la mise en œuvre du plan de continuité ; </w:t>
            </w:r>
          </w:p>
        </w:tc>
        <w:tc>
          <w:tcPr>
            <w:tcW w:w="1350" w:type="dxa"/>
            <w:gridSpan w:val="2"/>
            <w:vMerge/>
            <w:shd w:val="clear" w:color="auto" w:fill="FFC000"/>
            <w:vAlign w:val="center"/>
            <w:hideMark/>
          </w:tcPr>
          <w:p w14:paraId="1F7BA14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4E61606" w14:textId="77777777" w:rsidR="00545AF2" w:rsidRPr="00A5045C" w:rsidRDefault="00545AF2" w:rsidP="00545AF2">
            <w:pPr>
              <w:spacing w:before="0" w:beforeAutospacing="0" w:after="0" w:afterAutospacing="0"/>
              <w:rPr>
                <w:rFonts w:cs="Arial"/>
                <w:szCs w:val="18"/>
              </w:rPr>
            </w:pPr>
          </w:p>
        </w:tc>
      </w:tr>
      <w:tr w:rsidR="00545AF2" w:rsidRPr="001148E2" w14:paraId="53C38E97"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46" w:type="dxa"/>
            <w:gridSpan w:val="2"/>
            <w:vMerge/>
            <w:shd w:val="clear" w:color="000000" w:fill="FFFFFF"/>
            <w:noWrap/>
            <w:vAlign w:val="center"/>
          </w:tcPr>
          <w:p w14:paraId="72DD3393"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B1085C4" w14:textId="1B441FE6" w:rsidR="00545AF2" w:rsidRPr="00A5045C" w:rsidRDefault="00545AF2" w:rsidP="00545AF2">
            <w:pPr>
              <w:spacing w:before="0" w:beforeAutospacing="0" w:after="0" w:afterAutospacing="0"/>
              <w:jc w:val="both"/>
              <w:rPr>
                <w:rFonts w:cs="Arial"/>
                <w:szCs w:val="18"/>
              </w:rPr>
            </w:pPr>
            <w:r w:rsidRPr="00A5045C">
              <w:rPr>
                <w:rFonts w:cs="Arial"/>
                <w:szCs w:val="18"/>
              </w:rPr>
              <w:t>g) des exercices de secours doivent être régulièrement réalisés ;</w:t>
            </w:r>
          </w:p>
        </w:tc>
        <w:tc>
          <w:tcPr>
            <w:tcW w:w="1350" w:type="dxa"/>
            <w:gridSpan w:val="2"/>
            <w:vMerge/>
            <w:shd w:val="clear" w:color="auto" w:fill="FFC000"/>
            <w:vAlign w:val="center"/>
          </w:tcPr>
          <w:p w14:paraId="33E8715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77500458" w14:textId="77777777" w:rsidR="00545AF2" w:rsidRPr="00A5045C" w:rsidRDefault="00545AF2" w:rsidP="00545AF2">
            <w:pPr>
              <w:spacing w:before="0" w:beforeAutospacing="0" w:after="0" w:afterAutospacing="0"/>
              <w:rPr>
                <w:rFonts w:cs="Arial"/>
                <w:szCs w:val="18"/>
              </w:rPr>
            </w:pPr>
          </w:p>
        </w:tc>
      </w:tr>
      <w:tr w:rsidR="00545AF2" w:rsidRPr="001148E2" w14:paraId="0E2774B6" w14:textId="77777777" w:rsidTr="00E4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7DE6EFA7"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1F84D620" w14:textId="034D627B" w:rsidR="00545AF2" w:rsidRPr="00A5045C" w:rsidRDefault="00545AF2" w:rsidP="00545AF2">
            <w:pPr>
              <w:spacing w:before="0" w:beforeAutospacing="0" w:after="0" w:afterAutospacing="0"/>
              <w:jc w:val="both"/>
              <w:rPr>
                <w:rFonts w:cs="Arial"/>
                <w:szCs w:val="18"/>
              </w:rPr>
            </w:pPr>
            <w:r w:rsidRPr="00A5045C">
              <w:rPr>
                <w:rFonts w:cs="Arial"/>
                <w:szCs w:val="18"/>
              </w:rPr>
              <w:t>h) que le PCA fait l’objet d’un Maintien en Conditions Opérationnelles (MCO) afin d’évaluer son efficacité, sa cohérence vis-à-vis des exigences des métiers, et de s’assurer que tous les intervenants ont connaissance de leurs rôles. Le MCO doit notamment permettre de vérifier que les informations sont disponibles et à jour, les moyens de communication sont opérationnels et que les prises de décision peuvent s’opérer.</w:t>
            </w:r>
          </w:p>
        </w:tc>
        <w:tc>
          <w:tcPr>
            <w:tcW w:w="1350" w:type="dxa"/>
            <w:gridSpan w:val="2"/>
            <w:vMerge/>
            <w:shd w:val="clear" w:color="auto" w:fill="FFC000"/>
            <w:vAlign w:val="center"/>
            <w:hideMark/>
          </w:tcPr>
          <w:p w14:paraId="4617583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8A0714E" w14:textId="77777777" w:rsidR="00545AF2" w:rsidRPr="00A5045C" w:rsidRDefault="00545AF2" w:rsidP="00545AF2">
            <w:pPr>
              <w:spacing w:before="0" w:beforeAutospacing="0" w:after="0" w:afterAutospacing="0"/>
              <w:rPr>
                <w:rFonts w:cs="Arial"/>
                <w:szCs w:val="18"/>
              </w:rPr>
            </w:pPr>
          </w:p>
        </w:tc>
      </w:tr>
      <w:tr w:rsidR="00545AF2" w:rsidRPr="00A826E0" w14:paraId="54053A35"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AB52683"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4.</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2933281" w14:textId="6819807C" w:rsidR="00545AF2" w:rsidRPr="00A826E0" w:rsidRDefault="00545AF2" w:rsidP="00545AF2">
            <w:pPr>
              <w:spacing w:before="0" w:beforeAutospacing="0" w:after="0" w:afterAutospacing="0"/>
              <w:rPr>
                <w:rFonts w:cs="Arial"/>
                <w:b/>
                <w:sz w:val="20"/>
                <w:szCs w:val="18"/>
              </w:rPr>
            </w:pPr>
            <w:r w:rsidRPr="00A826E0">
              <w:rPr>
                <w:rFonts w:cs="Arial"/>
                <w:b/>
                <w:sz w:val="20"/>
                <w:szCs w:val="18"/>
              </w:rPr>
              <w:t xml:space="preserve">Contrôle et </w:t>
            </w:r>
            <w:r>
              <w:rPr>
                <w:rFonts w:cs="Arial"/>
                <w:b/>
                <w:sz w:val="20"/>
                <w:szCs w:val="18"/>
              </w:rPr>
              <w:t>limitation</w:t>
            </w:r>
            <w:r w:rsidRPr="00A826E0">
              <w:rPr>
                <w:rFonts w:cs="Arial"/>
                <w:b/>
                <w:sz w:val="20"/>
                <w:szCs w:val="18"/>
              </w:rPr>
              <w:t xml:space="preserve"> des risques</w:t>
            </w:r>
          </w:p>
        </w:tc>
      </w:tr>
      <w:tr w:rsidR="00545AF2" w:rsidRPr="001148E2" w14:paraId="7736E4B9"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796D7B2"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0DDBCB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Lors de la conception et de l’exploitation des services liés aux </w:t>
            </w:r>
            <w:r>
              <w:rPr>
                <w:rFonts w:cs="Arial"/>
                <w:b/>
                <w:bCs/>
                <w:szCs w:val="18"/>
              </w:rPr>
              <w:t>TSPD/IPS</w:t>
            </w:r>
            <w:r w:rsidRPr="00A5045C">
              <w:rPr>
                <w:rFonts w:cs="Arial"/>
                <w:b/>
                <w:bCs/>
                <w:szCs w:val="18"/>
              </w:rPr>
              <w:t>, les émetteurs doivent disposer d’un système d’information permettant une séparation des environnements (développement, test et production).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59D149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62BBE79" w14:textId="77777777" w:rsidR="00545AF2" w:rsidRPr="00A5045C" w:rsidRDefault="00545AF2" w:rsidP="00545AF2">
            <w:pPr>
              <w:spacing w:before="0" w:beforeAutospacing="0" w:after="0" w:afterAutospacing="0"/>
              <w:jc w:val="center"/>
              <w:rPr>
                <w:rFonts w:cs="Arial"/>
                <w:szCs w:val="18"/>
              </w:rPr>
            </w:pPr>
          </w:p>
        </w:tc>
      </w:tr>
      <w:tr w:rsidR="0081189C" w:rsidRPr="001148E2" w14:paraId="70DDA791" w14:textId="77777777" w:rsidTr="00E44524">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172F7" w14:textId="77777777" w:rsidR="0081189C" w:rsidRPr="00A5045C" w:rsidRDefault="0081189C" w:rsidP="0081189C">
            <w:pPr>
              <w:spacing w:before="0" w:beforeAutospacing="0" w:after="0" w:afterAutospacing="0"/>
              <w:jc w:val="center"/>
              <w:rPr>
                <w:rFonts w:cs="Arial"/>
                <w:szCs w:val="18"/>
              </w:rPr>
            </w:pPr>
            <w:r w:rsidRPr="00A5045C">
              <w:rPr>
                <w:rFonts w:cs="Arial"/>
                <w:szCs w:val="18"/>
              </w:rPr>
              <w:lastRenderedPageBreak/>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4149E" w14:textId="77777777" w:rsidR="0081189C" w:rsidRPr="00A5045C" w:rsidRDefault="0081189C" w:rsidP="0081189C">
            <w:pPr>
              <w:spacing w:before="0" w:beforeAutospacing="0" w:after="0" w:afterAutospacing="0"/>
              <w:jc w:val="both"/>
              <w:rPr>
                <w:rFonts w:cs="Arial"/>
                <w:szCs w:val="18"/>
              </w:rPr>
            </w:pPr>
            <w:r w:rsidRPr="00A5045C">
              <w:rPr>
                <w:rFonts w:cs="Arial"/>
                <w:szCs w:val="18"/>
              </w:rPr>
              <w:t xml:space="preserve">L’émetteur a mis en œuvre une séparation des environnements (études, test, production) relatifs au système de gestion des </w:t>
            </w:r>
            <w:r>
              <w:rPr>
                <w:rFonts w:cs="Arial"/>
                <w:szCs w:val="18"/>
              </w:rPr>
              <w:t>TSPD/IPS</w:t>
            </w:r>
            <w:r w:rsidRPr="00A5045C">
              <w:rPr>
                <w:rFonts w:cs="Arial"/>
                <w:szCs w:val="18"/>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F27D5A7" w14:textId="14EEDE14"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63C42DC" w14:textId="1F94D08C"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2BB03918"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7267FB"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A0BB6DC"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Une procédure de gestion des habilitations doit être formalisée, actant notamment le principe du minimum de privilèges acquis par défaut et définissant la politique d’accès aux environnements logiques et physiques sur tout le cycle de vie (attribution, modification, suppression).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E731C5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11347A5" w14:textId="77777777" w:rsidR="00545AF2" w:rsidRPr="00A5045C" w:rsidRDefault="00545AF2" w:rsidP="00545AF2">
            <w:pPr>
              <w:spacing w:before="0" w:beforeAutospacing="0" w:after="0" w:afterAutospacing="0"/>
              <w:jc w:val="center"/>
              <w:rPr>
                <w:rFonts w:cs="Arial"/>
                <w:szCs w:val="18"/>
              </w:rPr>
            </w:pPr>
          </w:p>
        </w:tc>
      </w:tr>
      <w:tr w:rsidR="0081189C" w:rsidRPr="001148E2" w14:paraId="48411E39" w14:textId="77777777" w:rsidTr="00E44524">
        <w:trPr>
          <w:trHeight w:val="828"/>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B1162" w14:textId="77777777" w:rsidR="0081189C" w:rsidRPr="00A5045C" w:rsidRDefault="0081189C" w:rsidP="0081189C">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690E7" w14:textId="13F6AA6C" w:rsidR="0081189C" w:rsidRPr="00A5045C" w:rsidRDefault="0081189C" w:rsidP="0081189C">
            <w:pPr>
              <w:spacing w:before="0" w:beforeAutospacing="0" w:after="0" w:afterAutospacing="0"/>
              <w:jc w:val="both"/>
              <w:rPr>
                <w:rFonts w:cs="Arial"/>
                <w:szCs w:val="18"/>
              </w:rPr>
            </w:pPr>
            <w:r>
              <w:rPr>
                <w:rFonts w:cs="Arial"/>
                <w:szCs w:val="18"/>
              </w:rPr>
              <w:t xml:space="preserve">a) </w:t>
            </w:r>
            <w:r w:rsidRPr="00A5045C">
              <w:rPr>
                <w:rFonts w:cs="Arial"/>
                <w:szCs w:val="18"/>
              </w:rPr>
              <w:t>L’émetteur s’assure que chaque utilisateur du système d’information (salariés, prestataires, intérimaires, etc.…) doit être reconnu par un identifiant unique et personnel.</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E91BF83" w14:textId="6DD8D336" w:rsidR="0081189C" w:rsidRPr="00A5045C" w:rsidRDefault="0081189C" w:rsidP="0081189C">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386CFD60" w14:textId="72E253A3" w:rsidR="0081189C" w:rsidRPr="00A5045C" w:rsidRDefault="0081189C" w:rsidP="0081189C">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ACE20C7" w14:textId="77777777" w:rsidTr="00E44524">
        <w:trPr>
          <w:trHeight w:val="684"/>
        </w:trPr>
        <w:tc>
          <w:tcPr>
            <w:tcW w:w="646" w:type="dxa"/>
            <w:gridSpan w:val="2"/>
            <w:tcBorders>
              <w:top w:val="single" w:sz="4" w:space="0" w:color="auto"/>
              <w:left w:val="single" w:sz="4" w:space="0" w:color="0070C0"/>
              <w:bottom w:val="single" w:sz="4" w:space="0" w:color="auto"/>
              <w:right w:val="single" w:sz="4" w:space="0" w:color="0070C0"/>
            </w:tcBorders>
            <w:shd w:val="clear" w:color="000000" w:fill="FFFFFF"/>
            <w:noWrap/>
            <w:vAlign w:val="center"/>
            <w:hideMark/>
          </w:tcPr>
          <w:p w14:paraId="05313C17"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4CDAE77E" w14:textId="7EA77613" w:rsidR="00545AF2" w:rsidRPr="00A5045C" w:rsidRDefault="00545AF2" w:rsidP="00545AF2">
            <w:pPr>
              <w:spacing w:before="0" w:beforeAutospacing="0" w:after="0" w:afterAutospacing="0"/>
              <w:jc w:val="both"/>
              <w:rPr>
                <w:rFonts w:cs="Arial"/>
                <w:szCs w:val="18"/>
              </w:rPr>
            </w:pPr>
            <w:r>
              <w:rPr>
                <w:rFonts w:cs="Arial"/>
                <w:szCs w:val="18"/>
              </w:rPr>
              <w:t xml:space="preserve">b) </w:t>
            </w:r>
            <w:r w:rsidRPr="00A5045C">
              <w:rPr>
                <w:rFonts w:cs="Arial"/>
                <w:szCs w:val="18"/>
              </w:rPr>
              <w:t xml:space="preserve">Chacun des utilisateurs du système d’information est référencé dans un annuaire central d’habilitations. Les habilitations sont attribuées et régulièrement mises à jour conformément à une procédure de gestion des habilitations et systématiquement soumises à validation hiérarchique. </w:t>
            </w:r>
          </w:p>
        </w:tc>
        <w:tc>
          <w:tcPr>
            <w:tcW w:w="1350" w:type="dxa"/>
            <w:gridSpan w:val="2"/>
            <w:vMerge/>
            <w:tcBorders>
              <w:top w:val="single" w:sz="4" w:space="0" w:color="auto"/>
              <w:left w:val="single" w:sz="4" w:space="0" w:color="0070C0"/>
              <w:bottom w:val="single" w:sz="4" w:space="0" w:color="auto"/>
              <w:right w:val="single" w:sz="4" w:space="0" w:color="0070C0"/>
            </w:tcBorders>
            <w:shd w:val="clear" w:color="auto" w:fill="FFC000"/>
            <w:vAlign w:val="center"/>
            <w:hideMark/>
          </w:tcPr>
          <w:p w14:paraId="04EF9BE7"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0070C0"/>
              <w:bottom w:val="single" w:sz="4" w:space="0" w:color="auto"/>
              <w:right w:val="single" w:sz="4" w:space="0" w:color="0070C0"/>
            </w:tcBorders>
            <w:shd w:val="clear" w:color="auto" w:fill="FFC000"/>
            <w:vAlign w:val="center"/>
            <w:hideMark/>
          </w:tcPr>
          <w:p w14:paraId="773C9933" w14:textId="77777777" w:rsidR="00545AF2" w:rsidRPr="00A5045C" w:rsidRDefault="00545AF2" w:rsidP="00545AF2">
            <w:pPr>
              <w:spacing w:before="0" w:beforeAutospacing="0" w:after="0" w:afterAutospacing="0"/>
              <w:rPr>
                <w:rFonts w:cs="Arial"/>
                <w:szCs w:val="18"/>
              </w:rPr>
            </w:pPr>
          </w:p>
        </w:tc>
      </w:tr>
      <w:tr w:rsidR="00545AF2" w:rsidRPr="001148E2" w14:paraId="4E077E96"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0CC57D3"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4.3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A51F1ED"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émetteurs doivent disposer de solutions appropriées permettant de protéger les infrastructures de communication (réseau, intranet, serveurs, etc.) contre les tentatives d’attaques.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74BAD462"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E729D40" w14:textId="77777777" w:rsidR="00545AF2" w:rsidRPr="00A5045C" w:rsidRDefault="00545AF2" w:rsidP="00545AF2">
            <w:pPr>
              <w:spacing w:before="0" w:beforeAutospacing="0" w:after="0" w:afterAutospacing="0"/>
              <w:jc w:val="center"/>
              <w:rPr>
                <w:rFonts w:cs="Arial"/>
                <w:szCs w:val="18"/>
              </w:rPr>
            </w:pPr>
          </w:p>
        </w:tc>
      </w:tr>
      <w:tr w:rsidR="00B465EF" w:rsidRPr="001148E2" w14:paraId="628A9A2F" w14:textId="77777777" w:rsidTr="00E44524">
        <w:trPr>
          <w:trHeight w:val="456"/>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10900E45"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03560"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L’émission de </w:t>
            </w:r>
            <w:r>
              <w:rPr>
                <w:rFonts w:cs="Arial"/>
                <w:szCs w:val="18"/>
              </w:rPr>
              <w:t>TSPD/IPS</w:t>
            </w:r>
            <w:r w:rsidRPr="00A5045C">
              <w:rPr>
                <w:rFonts w:cs="Arial"/>
                <w:szCs w:val="18"/>
              </w:rPr>
              <w:t xml:space="preserve"> requiert l’utilisation d’un système de gestion informatisé des titres dématérialisés, lequel devant être protégé contre les tentatives d’attaque:</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2E8C6237" w14:textId="74C59E59"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AA0B69D" w14:textId="3BDF3165"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9903772" w14:textId="77777777" w:rsidTr="00E44524">
        <w:trPr>
          <w:trHeight w:val="456"/>
        </w:trPr>
        <w:tc>
          <w:tcPr>
            <w:tcW w:w="646" w:type="dxa"/>
            <w:gridSpan w:val="2"/>
            <w:vMerge/>
            <w:tcBorders>
              <w:left w:val="single" w:sz="4" w:space="0" w:color="auto"/>
              <w:right w:val="single" w:sz="4" w:space="0" w:color="auto"/>
            </w:tcBorders>
            <w:shd w:val="clear" w:color="000000" w:fill="FFFFFF"/>
            <w:noWrap/>
            <w:vAlign w:val="center"/>
            <w:hideMark/>
          </w:tcPr>
          <w:p w14:paraId="7A49E9DE"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DDFF7"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sur les infrastructures réseau de l’émetteur : celui-ci doit veiller à la correcte installation et maintenance des équipements réseau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3A5B30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6D16158" w14:textId="77777777" w:rsidR="00545AF2" w:rsidRPr="00A5045C" w:rsidRDefault="00545AF2" w:rsidP="00545AF2">
            <w:pPr>
              <w:spacing w:before="0" w:beforeAutospacing="0" w:after="0" w:afterAutospacing="0"/>
              <w:rPr>
                <w:rFonts w:cs="Arial"/>
                <w:szCs w:val="18"/>
              </w:rPr>
            </w:pPr>
          </w:p>
        </w:tc>
      </w:tr>
      <w:tr w:rsidR="00545AF2" w:rsidRPr="001148E2" w14:paraId="41BBF2D2" w14:textId="77777777" w:rsidTr="00E44524">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5CABFF62"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12CD1"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sur les applications en veillant à installer les mises à jour des systèmes d'exploitation et des antivirus et à protéger les codes sources.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9D11C1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62EF00D" w14:textId="77777777" w:rsidR="00545AF2" w:rsidRPr="00A5045C" w:rsidRDefault="00545AF2" w:rsidP="00545AF2">
            <w:pPr>
              <w:spacing w:before="0" w:beforeAutospacing="0" w:after="0" w:afterAutospacing="0"/>
              <w:rPr>
                <w:rFonts w:cs="Arial"/>
                <w:szCs w:val="18"/>
              </w:rPr>
            </w:pPr>
          </w:p>
        </w:tc>
      </w:tr>
      <w:tr w:rsidR="00545AF2" w:rsidRPr="001148E2" w14:paraId="3BD64C39"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25F42CC"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4.4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B9264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Lors de la conception des services, les émetteurs doivent veiller à ce que le minimum de données sensibles soit impliqué dans chacun des processus fonctionnels.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A18F00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69BE1270" w14:textId="77777777" w:rsidR="00545AF2" w:rsidRPr="00A5045C" w:rsidRDefault="00545AF2" w:rsidP="00545AF2">
            <w:pPr>
              <w:spacing w:before="0" w:beforeAutospacing="0" w:after="0" w:afterAutospacing="0"/>
              <w:jc w:val="center"/>
              <w:rPr>
                <w:rFonts w:cs="Arial"/>
                <w:szCs w:val="18"/>
              </w:rPr>
            </w:pPr>
          </w:p>
        </w:tc>
      </w:tr>
      <w:tr w:rsidR="00B465EF" w:rsidRPr="001148E2" w14:paraId="3710F66A" w14:textId="77777777" w:rsidTr="00E44524">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6F203"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F25A0"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s’assure que les données sensibles ne sont pas utilisées inutilement dans un processus afin de préserver leur intégrité et confidentialité.</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4E831802" w14:textId="6E74FD22"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163CD701" w14:textId="16E7F854"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3D621816"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0CA0B10"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4.5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17346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mesures de sécurité mises en place pour réaliser la transaction de paiement doivent être testées par l’entité en charge des fonctions de contrôle afin de valider leur robustesse et leur efficacité. Toute modification de ces mesures doit être validée dans un processus planifié, formalisé et documenté.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4F41900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21405DFB" w14:textId="77777777" w:rsidR="00545AF2" w:rsidRPr="00A5045C" w:rsidRDefault="00545AF2" w:rsidP="00545AF2">
            <w:pPr>
              <w:spacing w:before="0" w:beforeAutospacing="0" w:after="0" w:afterAutospacing="0"/>
              <w:jc w:val="center"/>
              <w:rPr>
                <w:rFonts w:cs="Arial"/>
                <w:szCs w:val="18"/>
              </w:rPr>
            </w:pPr>
          </w:p>
        </w:tc>
      </w:tr>
      <w:tr w:rsidR="00B465EF" w:rsidRPr="001148E2" w14:paraId="25805594" w14:textId="77777777" w:rsidTr="00E44524">
        <w:trPr>
          <w:trHeight w:val="28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742DCC7"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CC7DC"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les mesures de sécurité mises en place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A2C2FA4" w14:textId="2EDE5C34"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0C2C95ED" w14:textId="5DFA234C"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0D2974D7" w14:textId="77777777" w:rsidTr="00E44524">
        <w:trPr>
          <w:trHeight w:val="276"/>
        </w:trPr>
        <w:tc>
          <w:tcPr>
            <w:tcW w:w="646" w:type="dxa"/>
            <w:gridSpan w:val="2"/>
            <w:vMerge/>
            <w:tcBorders>
              <w:left w:val="single" w:sz="4" w:space="0" w:color="auto"/>
              <w:right w:val="single" w:sz="4" w:space="0" w:color="auto"/>
            </w:tcBorders>
            <w:shd w:val="clear" w:color="000000" w:fill="FFFFFF"/>
            <w:noWrap/>
            <w:vAlign w:val="center"/>
            <w:hideMark/>
          </w:tcPr>
          <w:p w14:paraId="475FD63F"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B13AA"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sont bien intégrées au périmètre du responsable de la sécurité des systèmes d’information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81E465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C7E1CF2" w14:textId="77777777" w:rsidR="00545AF2" w:rsidRPr="00A5045C" w:rsidRDefault="00545AF2" w:rsidP="00545AF2">
            <w:pPr>
              <w:spacing w:before="0" w:beforeAutospacing="0" w:after="0" w:afterAutospacing="0"/>
              <w:rPr>
                <w:rFonts w:cs="Arial"/>
                <w:szCs w:val="18"/>
              </w:rPr>
            </w:pPr>
          </w:p>
        </w:tc>
      </w:tr>
      <w:tr w:rsidR="00545AF2" w:rsidRPr="001148E2" w14:paraId="2BDEEEA0" w14:textId="77777777" w:rsidTr="00E44524">
        <w:trPr>
          <w:trHeight w:val="276"/>
        </w:trPr>
        <w:tc>
          <w:tcPr>
            <w:tcW w:w="646" w:type="dxa"/>
            <w:gridSpan w:val="2"/>
            <w:vMerge/>
            <w:tcBorders>
              <w:left w:val="single" w:sz="4" w:space="0" w:color="auto"/>
              <w:right w:val="single" w:sz="4" w:space="0" w:color="auto"/>
            </w:tcBorders>
            <w:shd w:val="clear" w:color="000000" w:fill="FFFFFF"/>
            <w:noWrap/>
            <w:vAlign w:val="center"/>
            <w:hideMark/>
          </w:tcPr>
          <w:p w14:paraId="0A74189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F894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ont bien été testées quant à leur robustesse et efficacité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4A26CB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63289D8" w14:textId="77777777" w:rsidR="00545AF2" w:rsidRPr="00A5045C" w:rsidRDefault="00545AF2" w:rsidP="00545AF2">
            <w:pPr>
              <w:spacing w:before="0" w:beforeAutospacing="0" w:after="0" w:afterAutospacing="0"/>
              <w:rPr>
                <w:rFonts w:cs="Arial"/>
                <w:szCs w:val="18"/>
              </w:rPr>
            </w:pPr>
          </w:p>
        </w:tc>
      </w:tr>
      <w:tr w:rsidR="00545AF2" w:rsidRPr="001148E2" w14:paraId="0939417C" w14:textId="77777777" w:rsidTr="00E44524">
        <w:trPr>
          <w:trHeight w:val="27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22752AB9"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4B056"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font régulièrement l’objet d’une procédure de mise à jour.</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D1D7E66"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8700DF" w14:textId="77777777" w:rsidR="00545AF2" w:rsidRPr="00A5045C" w:rsidRDefault="00545AF2" w:rsidP="00545AF2">
            <w:pPr>
              <w:spacing w:before="0" w:beforeAutospacing="0" w:after="0" w:afterAutospacing="0"/>
              <w:rPr>
                <w:rFonts w:cs="Arial"/>
                <w:szCs w:val="18"/>
              </w:rPr>
            </w:pPr>
          </w:p>
        </w:tc>
      </w:tr>
      <w:tr w:rsidR="00545AF2" w:rsidRPr="001148E2" w14:paraId="62230809"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491D6AF"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4.6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E5F0F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Les mesures de sécurité mises en œuvre sur les </w:t>
            </w:r>
            <w:r>
              <w:rPr>
                <w:rFonts w:cs="Arial"/>
                <w:b/>
                <w:bCs/>
                <w:szCs w:val="18"/>
              </w:rPr>
              <w:t>TSPD/IPS</w:t>
            </w:r>
            <w:r w:rsidRPr="00A5045C">
              <w:rPr>
                <w:rFonts w:cs="Arial"/>
                <w:b/>
                <w:bCs/>
                <w:szCs w:val="18"/>
              </w:rPr>
              <w:t xml:space="preserve"> doivent faire l’objet d’un contrôle périodique afin de garantir leur robustesse et pertinence. Ces audits doivent être réalisés par des entités indépendantes (interne ou externe) des fonctions opérationnelles à une fréquence définie au regard de l’importance des risques encourus.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559CABC"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0C35F13"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4D839FDE" w14:textId="77777777" w:rsidTr="00E44524">
        <w:trPr>
          <w:trHeight w:val="28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4F81A95"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0BF36"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C5468D7" w14:textId="4125853D"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D46BB12" w14:textId="734780E5"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736C3FEC" w14:textId="77777777" w:rsidTr="00E44524">
        <w:trPr>
          <w:trHeight w:val="276"/>
        </w:trPr>
        <w:tc>
          <w:tcPr>
            <w:tcW w:w="646" w:type="dxa"/>
            <w:gridSpan w:val="2"/>
            <w:vMerge/>
            <w:tcBorders>
              <w:left w:val="single" w:sz="4" w:space="0" w:color="auto"/>
              <w:right w:val="single" w:sz="4" w:space="0" w:color="auto"/>
            </w:tcBorders>
            <w:shd w:val="clear" w:color="000000" w:fill="FFFFFF"/>
            <w:noWrap/>
            <w:vAlign w:val="center"/>
          </w:tcPr>
          <w:p w14:paraId="4D98EB1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F3986"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un contrôle périodique garantit la robustesse et la pertinence des mesures de sécurité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1CED305"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6826513" w14:textId="77777777" w:rsidR="00545AF2" w:rsidRPr="00A5045C" w:rsidRDefault="00545AF2" w:rsidP="00545AF2">
            <w:pPr>
              <w:spacing w:before="0" w:beforeAutospacing="0" w:after="0" w:afterAutospacing="0"/>
              <w:rPr>
                <w:rFonts w:cs="Arial"/>
                <w:szCs w:val="18"/>
              </w:rPr>
            </w:pPr>
          </w:p>
        </w:tc>
      </w:tr>
      <w:tr w:rsidR="00545AF2" w:rsidRPr="001148E2" w14:paraId="2C26E6A0" w14:textId="77777777" w:rsidTr="00E44524">
        <w:trPr>
          <w:trHeight w:val="276"/>
        </w:trPr>
        <w:tc>
          <w:tcPr>
            <w:tcW w:w="646" w:type="dxa"/>
            <w:gridSpan w:val="2"/>
            <w:vMerge/>
            <w:tcBorders>
              <w:left w:val="single" w:sz="4" w:space="0" w:color="auto"/>
              <w:right w:val="single" w:sz="4" w:space="0" w:color="auto"/>
            </w:tcBorders>
            <w:shd w:val="clear" w:color="000000" w:fill="FFFFFF"/>
            <w:noWrap/>
            <w:vAlign w:val="center"/>
          </w:tcPr>
          <w:p w14:paraId="1ADD3F8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A6B51"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la fréquence de ces audits prend en compte les risques encourus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A53DD6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E610C6F" w14:textId="77777777" w:rsidR="00545AF2" w:rsidRPr="00A5045C" w:rsidRDefault="00545AF2" w:rsidP="00545AF2">
            <w:pPr>
              <w:spacing w:before="0" w:beforeAutospacing="0" w:after="0" w:afterAutospacing="0"/>
              <w:rPr>
                <w:rFonts w:cs="Arial"/>
                <w:szCs w:val="18"/>
              </w:rPr>
            </w:pPr>
          </w:p>
        </w:tc>
      </w:tr>
      <w:tr w:rsidR="00545AF2" w:rsidRPr="001148E2" w14:paraId="4C42309D" w14:textId="77777777" w:rsidTr="00E44524">
        <w:trPr>
          <w:trHeight w:val="276"/>
        </w:trPr>
        <w:tc>
          <w:tcPr>
            <w:tcW w:w="646" w:type="dxa"/>
            <w:gridSpan w:val="2"/>
            <w:vMerge/>
            <w:tcBorders>
              <w:left w:val="single" w:sz="4" w:space="0" w:color="auto"/>
              <w:right w:val="single" w:sz="4" w:space="0" w:color="auto"/>
            </w:tcBorders>
            <w:shd w:val="clear" w:color="000000" w:fill="FFFFFF"/>
            <w:noWrap/>
            <w:vAlign w:val="center"/>
          </w:tcPr>
          <w:p w14:paraId="6B6A5BF8"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71CBF"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les entités en charge de ces audits sont indépendantes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AF6BBB5"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68BCCF1" w14:textId="77777777" w:rsidR="00545AF2" w:rsidRPr="00A5045C" w:rsidRDefault="00545AF2" w:rsidP="00545AF2">
            <w:pPr>
              <w:spacing w:before="0" w:beforeAutospacing="0" w:after="0" w:afterAutospacing="0"/>
              <w:rPr>
                <w:rFonts w:cs="Arial"/>
                <w:szCs w:val="18"/>
              </w:rPr>
            </w:pPr>
          </w:p>
        </w:tc>
      </w:tr>
      <w:tr w:rsidR="00545AF2" w:rsidRPr="001148E2" w14:paraId="5A874618" w14:textId="77777777" w:rsidTr="00E44524">
        <w:trPr>
          <w:trHeight w:val="276"/>
        </w:trPr>
        <w:tc>
          <w:tcPr>
            <w:tcW w:w="646" w:type="dxa"/>
            <w:gridSpan w:val="2"/>
            <w:vMerge/>
            <w:tcBorders>
              <w:left w:val="single" w:sz="4" w:space="0" w:color="auto"/>
              <w:bottom w:val="single" w:sz="4" w:space="0" w:color="auto"/>
              <w:right w:val="single" w:sz="4" w:space="0" w:color="auto"/>
            </w:tcBorders>
            <w:shd w:val="clear" w:color="000000" w:fill="FFFFFF"/>
            <w:noWrap/>
            <w:vAlign w:val="center"/>
          </w:tcPr>
          <w:p w14:paraId="224FC291"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7EBBF" w14:textId="77777777" w:rsidR="00545AF2" w:rsidRPr="00A5045C" w:rsidRDefault="00545AF2" w:rsidP="00545AF2">
            <w:pPr>
              <w:spacing w:before="0" w:beforeAutospacing="0" w:after="0" w:afterAutospacing="0"/>
              <w:jc w:val="both"/>
              <w:rPr>
                <w:rFonts w:cs="Arial"/>
                <w:szCs w:val="18"/>
              </w:rPr>
            </w:pPr>
            <w:r w:rsidRPr="00A5045C">
              <w:rPr>
                <w:rFonts w:cs="Arial"/>
                <w:szCs w:val="18"/>
              </w:rPr>
              <w:t>d) le résultat de ces audits est communiqué aux instances dirigeantes.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44BEBA2"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F9B7940" w14:textId="77777777" w:rsidR="00545AF2" w:rsidRPr="00A5045C" w:rsidRDefault="00545AF2" w:rsidP="00545AF2">
            <w:pPr>
              <w:spacing w:before="0" w:beforeAutospacing="0" w:after="0" w:afterAutospacing="0"/>
              <w:rPr>
                <w:rFonts w:cs="Arial"/>
                <w:szCs w:val="18"/>
              </w:rPr>
            </w:pPr>
          </w:p>
        </w:tc>
      </w:tr>
      <w:tr w:rsidR="00545AF2" w:rsidRPr="001148E2" w14:paraId="13BEC340"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298E941"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4.7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F39109F"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Dans le cas où les fonctions liées à la sécurité des </w:t>
            </w:r>
            <w:r>
              <w:rPr>
                <w:rFonts w:cs="Arial"/>
                <w:b/>
                <w:bCs/>
                <w:szCs w:val="18"/>
              </w:rPr>
              <w:t>TSPD/IPS</w:t>
            </w:r>
            <w:r w:rsidRPr="00A5045C">
              <w:rPr>
                <w:rFonts w:cs="Arial"/>
                <w:b/>
                <w:bCs/>
                <w:szCs w:val="18"/>
              </w:rPr>
              <w:t xml:space="preserve"> sont externalisées, il convient de prévoir au contrat les dispositions relatives à la conformité aux recommandations formulées dans le présent rapport.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B3F6B78"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B0AADE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6B76104" w14:textId="77777777" w:rsidTr="003C1F1E">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52E9E"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A1800" w14:textId="77777777" w:rsidR="00B465EF" w:rsidRPr="00A5045C" w:rsidRDefault="00B465EF" w:rsidP="00B465EF">
            <w:pPr>
              <w:spacing w:before="0" w:beforeAutospacing="0" w:after="0" w:afterAutospacing="0"/>
              <w:jc w:val="both"/>
              <w:rPr>
                <w:rFonts w:cs="Arial"/>
                <w:szCs w:val="18"/>
              </w:rPr>
            </w:pPr>
            <w:r w:rsidRPr="00A5045C">
              <w:rPr>
                <w:rFonts w:cs="Arial"/>
                <w:szCs w:val="18"/>
              </w:rPr>
              <w:t>L’Émetteur doit s’assurer que les contrats avec ses prestataires prennent en compte les recommandations à mettre en œuvre. Le prestataire s’engage à respecter les recommandations et permet à l’Émetteur de vérifier la conformité de ces processus.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DA77F1C" w14:textId="13BAF393"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0DC4171D" w14:textId="5D8A921F"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A826E0" w14:paraId="33DC8670"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411BA1C"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5.</w:t>
            </w:r>
          </w:p>
        </w:tc>
        <w:tc>
          <w:tcPr>
            <w:tcW w:w="14106" w:type="dxa"/>
            <w:gridSpan w:val="6"/>
            <w:tcBorders>
              <w:top w:val="single" w:sz="4" w:space="0" w:color="auto"/>
              <w:left w:val="single" w:sz="4" w:space="0" w:color="auto"/>
              <w:bottom w:val="single" w:sz="4" w:space="0" w:color="auto"/>
              <w:right w:val="single" w:sz="4" w:space="0" w:color="0070C0"/>
            </w:tcBorders>
            <w:shd w:val="clear" w:color="auto" w:fill="B8CCE4" w:themeFill="accent1" w:themeFillTint="66"/>
            <w:noWrap/>
            <w:vAlign w:val="center"/>
            <w:hideMark/>
          </w:tcPr>
          <w:p w14:paraId="271D8DFA" w14:textId="71D56C4E" w:rsidR="00545AF2" w:rsidRPr="00A826E0" w:rsidRDefault="00545AF2" w:rsidP="00545AF2">
            <w:pPr>
              <w:spacing w:before="0" w:beforeAutospacing="0" w:after="0" w:afterAutospacing="0"/>
              <w:rPr>
                <w:rFonts w:cs="Arial"/>
                <w:b/>
                <w:sz w:val="20"/>
                <w:szCs w:val="18"/>
              </w:rPr>
            </w:pPr>
            <w:r w:rsidRPr="00A826E0">
              <w:rPr>
                <w:rFonts w:cs="Arial"/>
                <w:b/>
                <w:sz w:val="20"/>
                <w:szCs w:val="18"/>
              </w:rPr>
              <w:t>Traçabilité</w:t>
            </w:r>
            <w:r>
              <w:rPr>
                <w:rFonts w:cs="Arial"/>
                <w:b/>
                <w:sz w:val="20"/>
                <w:szCs w:val="18"/>
              </w:rPr>
              <w:t xml:space="preserve"> / piste d’audit</w:t>
            </w:r>
          </w:p>
        </w:tc>
      </w:tr>
      <w:tr w:rsidR="00545AF2" w:rsidRPr="001148E2" w14:paraId="2650457D"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E1E4FA1"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5.1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BE19E4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émetteurs doivent disposer d’un processus adéquat permettant de piloter, tracer et restreindre l’accès i) aux données sensibles de paiement ; ii) aux ressources critiques logiques et physiques (réseau, systèmes de base de données, modules de sécurité, etc.).</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9817B2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0070C0"/>
              <w:left w:val="single" w:sz="4" w:space="0" w:color="auto"/>
              <w:bottom w:val="nil"/>
              <w:right w:val="single" w:sz="4" w:space="0" w:color="0070C0"/>
            </w:tcBorders>
            <w:shd w:val="clear" w:color="000000" w:fill="DDEBF7"/>
            <w:vAlign w:val="center"/>
            <w:hideMark/>
          </w:tcPr>
          <w:p w14:paraId="775F83CD"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51ABC3E9" w14:textId="77777777" w:rsidTr="003C1F1E">
        <w:trPr>
          <w:trHeight w:val="1140"/>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6832E"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37372" w14:textId="77777777" w:rsidR="00B465EF" w:rsidRPr="00A5045C" w:rsidRDefault="00B465EF" w:rsidP="00B465EF">
            <w:pPr>
              <w:spacing w:before="0" w:beforeAutospacing="0" w:after="0" w:afterAutospacing="0"/>
              <w:jc w:val="both"/>
              <w:rPr>
                <w:rFonts w:cs="Arial"/>
                <w:szCs w:val="18"/>
              </w:rPr>
            </w:pPr>
            <w:r w:rsidRPr="00A5045C">
              <w:rPr>
                <w:rFonts w:cs="Arial"/>
                <w:szCs w:val="18"/>
              </w:rPr>
              <w:t>Les traces informatiques correspondent aux enregistrements systématiques et temporaires d’informations caractéristiques des transactions opérées au sein du système d’information, issus des applications (bases de données, applications), des systèmes, des infrastructures réseaux et sécurité ou des équipements des réseaux. Le processus de gestion des traces doit permettre à l’émetteur de vérifier que les règles en matière de sécurité des SI sont correctement appliquées et que la sécurité qui doit en résulter est bien assurée.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4950C071" w14:textId="4304B0C7"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tcBorders>
              <w:top w:val="nil"/>
              <w:left w:val="single" w:sz="4" w:space="0" w:color="auto"/>
              <w:bottom w:val="nil"/>
              <w:right w:val="single" w:sz="4" w:space="0" w:color="0070C0"/>
            </w:tcBorders>
            <w:shd w:val="clear" w:color="auto" w:fill="FFC000"/>
            <w:vAlign w:val="center"/>
            <w:hideMark/>
          </w:tcPr>
          <w:p w14:paraId="39F39BC6" w14:textId="2AE08F71"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2AB8AD4F"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5879856"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5.2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DEBFB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Seules les personnes dûment habilitées par les émetteurs doivent être en mesure d’exploiter la piste d’audit et ce pour une durée adaptée à leur activité conformément aux règles fixées par la loi « Informatique et libertés », dont la bonne application est garantie par la Commission nationale de l'informatique et des libertés (CNIL).</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10ECDD3"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0070C0"/>
              <w:left w:val="single" w:sz="4" w:space="0" w:color="auto"/>
              <w:bottom w:val="nil"/>
              <w:right w:val="single" w:sz="4" w:space="0" w:color="0070C0"/>
            </w:tcBorders>
            <w:shd w:val="clear" w:color="000000" w:fill="DDEBF7"/>
            <w:vAlign w:val="center"/>
            <w:hideMark/>
          </w:tcPr>
          <w:p w14:paraId="0FFAFC96"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26001469" w14:textId="77777777" w:rsidTr="003C1F1E">
        <w:trPr>
          <w:trHeight w:val="288"/>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D66A0"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6C113" w14:textId="77777777" w:rsidR="00B465EF" w:rsidRPr="00A5045C" w:rsidRDefault="00B465EF" w:rsidP="00B465EF">
            <w:pPr>
              <w:spacing w:before="0" w:beforeAutospacing="0" w:after="0" w:afterAutospacing="0"/>
              <w:jc w:val="both"/>
              <w:rPr>
                <w:rFonts w:cs="Arial"/>
                <w:szCs w:val="18"/>
              </w:rPr>
            </w:pPr>
            <w:r w:rsidRPr="00A5045C">
              <w:rPr>
                <w:rFonts w:cs="Arial"/>
                <w:szCs w:val="18"/>
              </w:rPr>
              <w:t>L’émetteur s’assure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3719AB2D" w14:textId="5D1FCA1E"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nil"/>
              <w:left w:val="single" w:sz="4" w:space="0" w:color="auto"/>
              <w:bottom w:val="single" w:sz="4" w:space="0" w:color="auto"/>
              <w:right w:val="single" w:sz="4" w:space="0" w:color="0070C0"/>
            </w:tcBorders>
            <w:shd w:val="clear" w:color="auto" w:fill="FFC000"/>
            <w:vAlign w:val="center"/>
            <w:hideMark/>
          </w:tcPr>
          <w:p w14:paraId="6EC8BCCE" w14:textId="50A6A99D"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3E925E4" w14:textId="77777777" w:rsidTr="003C1F1E">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BD76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4AE9F"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du strict encadrement des rôles et responsabilités des acteurs impliqués dans la gestion des traces;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14BAF7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F96B6A1" w14:textId="77777777" w:rsidR="00545AF2" w:rsidRPr="00A5045C" w:rsidRDefault="00545AF2" w:rsidP="00545AF2">
            <w:pPr>
              <w:spacing w:before="0" w:beforeAutospacing="0" w:after="0" w:afterAutospacing="0"/>
              <w:rPr>
                <w:rFonts w:cs="Arial"/>
                <w:szCs w:val="18"/>
              </w:rPr>
            </w:pPr>
          </w:p>
        </w:tc>
      </w:tr>
      <w:tr w:rsidR="00545AF2" w:rsidRPr="001148E2" w14:paraId="63F74C9E" w14:textId="77777777" w:rsidTr="003C1F1E">
        <w:trPr>
          <w:trHeight w:val="456"/>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F68C7"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3890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de la définition des données à journaliser et la durée de conservation de celles-ci en tenant compte de l’objectif fonctionnel poursuivi.</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6ED0A18"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EA8FCCE" w14:textId="77777777" w:rsidR="00545AF2" w:rsidRPr="00A5045C" w:rsidRDefault="00545AF2" w:rsidP="00545AF2">
            <w:pPr>
              <w:spacing w:before="0" w:beforeAutospacing="0" w:after="0" w:afterAutospacing="0"/>
              <w:rPr>
                <w:rFonts w:cs="Arial"/>
                <w:szCs w:val="18"/>
              </w:rPr>
            </w:pPr>
          </w:p>
        </w:tc>
      </w:tr>
      <w:tr w:rsidR="00545AF2" w:rsidRPr="00A826E0" w14:paraId="52620D44"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7B7465EA" w14:textId="77777777" w:rsidR="00545AF2" w:rsidRPr="00A826E0" w:rsidRDefault="00545AF2" w:rsidP="00545AF2">
            <w:pPr>
              <w:spacing w:before="0" w:beforeAutospacing="0" w:after="0" w:afterAutospacing="0"/>
              <w:jc w:val="both"/>
              <w:rPr>
                <w:rFonts w:cs="Arial"/>
                <w:b/>
                <w:sz w:val="20"/>
                <w:szCs w:val="18"/>
              </w:rPr>
            </w:pPr>
            <w:r w:rsidRPr="00A826E0">
              <w:rPr>
                <w:rFonts w:cs="Arial"/>
                <w:b/>
                <w:sz w:val="20"/>
                <w:szCs w:val="18"/>
              </w:rPr>
              <w:t>6.</w:t>
            </w:r>
          </w:p>
        </w:tc>
        <w:tc>
          <w:tcPr>
            <w:tcW w:w="14106" w:type="dxa"/>
            <w:gridSpan w:val="6"/>
            <w:shd w:val="clear" w:color="auto" w:fill="B8CCE4" w:themeFill="accent1" w:themeFillTint="66"/>
            <w:noWrap/>
            <w:vAlign w:val="center"/>
            <w:hideMark/>
          </w:tcPr>
          <w:p w14:paraId="3B76A9EF" w14:textId="5FAF443F" w:rsidR="00545AF2" w:rsidRPr="00A826E0" w:rsidRDefault="00545AF2" w:rsidP="00545AF2">
            <w:pPr>
              <w:spacing w:before="0" w:beforeAutospacing="0" w:after="0" w:afterAutospacing="0"/>
              <w:rPr>
                <w:rFonts w:cs="Arial"/>
                <w:b/>
                <w:sz w:val="20"/>
                <w:szCs w:val="18"/>
              </w:rPr>
            </w:pPr>
            <w:r w:rsidRPr="000176A4">
              <w:rPr>
                <w:rFonts w:cs="Arial"/>
                <w:b/>
                <w:sz w:val="20"/>
                <w:szCs w:val="18"/>
              </w:rPr>
              <w:t>Sécurité physique du titre papier</w:t>
            </w:r>
            <w:r>
              <w:rPr>
                <w:rFonts w:cs="Arial"/>
                <w:b/>
                <w:sz w:val="20"/>
                <w:szCs w:val="18"/>
              </w:rPr>
              <w:t xml:space="preserve"> (IPS ou CESU)</w:t>
            </w:r>
          </w:p>
        </w:tc>
      </w:tr>
      <w:tr w:rsidR="00545AF2" w:rsidRPr="001148E2" w14:paraId="6868F061"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16A3C292"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6.1 </w:t>
            </w:r>
          </w:p>
        </w:tc>
        <w:tc>
          <w:tcPr>
            <w:tcW w:w="10211" w:type="dxa"/>
            <w:gridSpan w:val="2"/>
            <w:shd w:val="clear" w:color="000000" w:fill="DDEBF7"/>
            <w:noWrap/>
            <w:vAlign w:val="center"/>
            <w:hideMark/>
          </w:tcPr>
          <w:p w14:paraId="236C1EDA" w14:textId="216175F3" w:rsidR="00545AF2" w:rsidRPr="00A5045C" w:rsidRDefault="00545AF2" w:rsidP="00545AF2">
            <w:pPr>
              <w:spacing w:before="0" w:beforeAutospacing="0" w:after="0" w:afterAutospacing="0"/>
              <w:jc w:val="both"/>
              <w:rPr>
                <w:rFonts w:cs="Arial"/>
                <w:b/>
                <w:bCs/>
                <w:szCs w:val="18"/>
              </w:rPr>
            </w:pPr>
            <w:r w:rsidRPr="000176A4">
              <w:rPr>
                <w:rFonts w:cs="Arial"/>
                <w:b/>
                <w:bCs/>
                <w:szCs w:val="18"/>
              </w:rPr>
              <w:t>L’émetteur s’assure de la sécurité des supports physiques du titre papier. Tout au long de la période de conservation obligatoire, la qualité, la disponibilité et l’exploitabilité technique des éléments archivés est assurée.</w:t>
            </w:r>
          </w:p>
        </w:tc>
        <w:tc>
          <w:tcPr>
            <w:tcW w:w="1350" w:type="dxa"/>
            <w:gridSpan w:val="2"/>
            <w:shd w:val="clear" w:color="000000" w:fill="DDEBF7"/>
            <w:vAlign w:val="center"/>
            <w:hideMark/>
          </w:tcPr>
          <w:p w14:paraId="05E8537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CD592AE"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283EF58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646" w:type="dxa"/>
            <w:gridSpan w:val="2"/>
            <w:vMerge w:val="restart"/>
            <w:shd w:val="clear" w:color="000000" w:fill="FFFFFF"/>
            <w:noWrap/>
            <w:vAlign w:val="center"/>
          </w:tcPr>
          <w:p w14:paraId="1CDAAAE8" w14:textId="6D3D26B1" w:rsidR="00B465EF" w:rsidRPr="00A5045C" w:rsidRDefault="00B465EF" w:rsidP="00B465EF">
            <w:pPr>
              <w:spacing w:before="0" w:after="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0BDB4ED1" w14:textId="5866FC85" w:rsidR="00B465EF" w:rsidRPr="00E23B06" w:rsidRDefault="00B465EF" w:rsidP="00B465EF">
            <w:pPr>
              <w:spacing w:before="0" w:beforeAutospacing="0" w:after="0" w:afterAutospacing="0"/>
              <w:jc w:val="both"/>
              <w:rPr>
                <w:rFonts w:cs="Arial"/>
                <w:szCs w:val="18"/>
              </w:rPr>
            </w:pPr>
            <w:r w:rsidRPr="00E23B06">
              <w:rPr>
                <w:rFonts w:cs="Arial"/>
                <w:szCs w:val="18"/>
              </w:rPr>
              <w:t>L’émetteur s’assure de la sécurité des supports physiques du titre TSPD/IPS, il prévoit notamment de :</w:t>
            </w:r>
          </w:p>
        </w:tc>
        <w:tc>
          <w:tcPr>
            <w:tcW w:w="1350" w:type="dxa"/>
            <w:gridSpan w:val="2"/>
            <w:vMerge w:val="restart"/>
            <w:shd w:val="clear" w:color="auto" w:fill="FFC000"/>
            <w:vAlign w:val="center"/>
            <w:hideMark/>
          </w:tcPr>
          <w:p w14:paraId="776B54CE" w14:textId="34C0CFB4"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BA15B78" w14:textId="1F71286B"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37D61C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25DAA9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E6609F8" w14:textId="40CF2082"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 xml:space="preserve">a) fournir aux bénéficiaires et aux accepteurs l’ensemble des caractéristiques des signes de sécurité permettant d’authentifier ses titres et assure une communication large et régulière de ses informations et recommandations auprès des bénéficiaires et des accepteurs ; </w:t>
            </w:r>
          </w:p>
        </w:tc>
        <w:tc>
          <w:tcPr>
            <w:tcW w:w="1350" w:type="dxa"/>
            <w:gridSpan w:val="2"/>
            <w:vMerge/>
            <w:shd w:val="clear" w:color="auto" w:fill="FFC000"/>
            <w:vAlign w:val="center"/>
            <w:hideMark/>
          </w:tcPr>
          <w:p w14:paraId="1B9941E4"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18196A7" w14:textId="77777777" w:rsidR="00545AF2" w:rsidRPr="00A5045C" w:rsidRDefault="00545AF2" w:rsidP="00545AF2">
            <w:pPr>
              <w:spacing w:before="0" w:beforeAutospacing="0" w:after="0" w:afterAutospacing="0"/>
              <w:rPr>
                <w:rFonts w:cs="Arial"/>
                <w:szCs w:val="18"/>
              </w:rPr>
            </w:pPr>
          </w:p>
        </w:tc>
      </w:tr>
      <w:tr w:rsidR="00545AF2" w:rsidRPr="001148E2" w14:paraId="54FA01D6"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tcPr>
          <w:p w14:paraId="1031453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4D3810BD" w14:textId="5CE2C697"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b) disposer d’une procédure destinée à détecter la perte de qualité des archives logiques qu’il conserve. La bonne application de cette procédure fait l’objet d’une vérification régulière ;</w:t>
            </w:r>
          </w:p>
        </w:tc>
        <w:tc>
          <w:tcPr>
            <w:tcW w:w="1350" w:type="dxa"/>
            <w:gridSpan w:val="2"/>
            <w:vMerge/>
            <w:shd w:val="clear" w:color="auto" w:fill="FFC000"/>
            <w:vAlign w:val="center"/>
          </w:tcPr>
          <w:p w14:paraId="7AE6F56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09607876" w14:textId="77777777" w:rsidR="00545AF2" w:rsidRPr="00A5045C" w:rsidRDefault="00545AF2" w:rsidP="00545AF2">
            <w:pPr>
              <w:spacing w:before="0" w:beforeAutospacing="0" w:after="0" w:afterAutospacing="0"/>
              <w:rPr>
                <w:rFonts w:cs="Arial"/>
                <w:szCs w:val="18"/>
              </w:rPr>
            </w:pPr>
          </w:p>
        </w:tc>
      </w:tr>
      <w:tr w:rsidR="00545AF2" w:rsidRPr="001148E2" w14:paraId="64637B1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tcPr>
          <w:p w14:paraId="162546B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2F167109" w14:textId="00B4F4AD"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c) disposer d’une procédure destinée à détecter la perte de qualité des archives physiques qu’il conserve. La bonne application de cette procédure fait l’objet d’une vérification régulière ;</w:t>
            </w:r>
          </w:p>
        </w:tc>
        <w:tc>
          <w:tcPr>
            <w:tcW w:w="1350" w:type="dxa"/>
            <w:gridSpan w:val="2"/>
            <w:vMerge/>
            <w:shd w:val="clear" w:color="auto" w:fill="FFC000"/>
            <w:vAlign w:val="center"/>
          </w:tcPr>
          <w:p w14:paraId="0AFB339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61F73970" w14:textId="77777777" w:rsidR="00545AF2" w:rsidRPr="00A5045C" w:rsidRDefault="00545AF2" w:rsidP="00545AF2">
            <w:pPr>
              <w:spacing w:before="0" w:beforeAutospacing="0" w:after="0" w:afterAutospacing="0"/>
              <w:rPr>
                <w:rFonts w:cs="Arial"/>
                <w:szCs w:val="18"/>
              </w:rPr>
            </w:pPr>
          </w:p>
        </w:tc>
      </w:tr>
      <w:tr w:rsidR="00545AF2" w:rsidRPr="001148E2" w14:paraId="19C36B3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3C1DED35"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321EE22" w14:textId="7EF81224"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d) disposer d’une procédure visant à s’assurer de la lisibilité dans le temps des supports archivés;</w:t>
            </w:r>
          </w:p>
        </w:tc>
        <w:tc>
          <w:tcPr>
            <w:tcW w:w="1350" w:type="dxa"/>
            <w:gridSpan w:val="2"/>
            <w:vMerge/>
            <w:shd w:val="clear" w:color="auto" w:fill="FFC000"/>
            <w:vAlign w:val="center"/>
            <w:hideMark/>
          </w:tcPr>
          <w:p w14:paraId="27B96D10"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F99C912" w14:textId="77777777" w:rsidR="00545AF2" w:rsidRPr="00A5045C" w:rsidRDefault="00545AF2" w:rsidP="00545AF2">
            <w:pPr>
              <w:spacing w:before="0" w:beforeAutospacing="0" w:after="0" w:afterAutospacing="0"/>
              <w:rPr>
                <w:rFonts w:cs="Arial"/>
                <w:szCs w:val="18"/>
              </w:rPr>
            </w:pPr>
          </w:p>
        </w:tc>
      </w:tr>
      <w:tr w:rsidR="00545AF2" w:rsidRPr="001148E2" w14:paraId="53C7C093"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46" w:type="dxa"/>
            <w:gridSpan w:val="2"/>
            <w:vMerge/>
            <w:shd w:val="clear" w:color="000000" w:fill="FFFFFF"/>
            <w:noWrap/>
            <w:vAlign w:val="center"/>
            <w:hideMark/>
          </w:tcPr>
          <w:p w14:paraId="78F5E9BC"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0D14C4B1" w14:textId="032BBAF5" w:rsidR="00545AF2" w:rsidRPr="00E23B06" w:rsidRDefault="00545AF2" w:rsidP="00545AF2">
            <w:pPr>
              <w:spacing w:before="0" w:beforeAutospacing="0" w:after="0" w:afterAutospacing="0"/>
              <w:jc w:val="both"/>
              <w:rPr>
                <w:rFonts w:cs="Arial"/>
                <w:color w:val="000000"/>
                <w:szCs w:val="18"/>
              </w:rPr>
            </w:pPr>
            <w:r w:rsidRPr="00E23B06">
              <w:rPr>
                <w:rFonts w:cs="Arial"/>
                <w:szCs w:val="18"/>
              </w:rPr>
              <w:t xml:space="preserve">e) la faculté de reconstituer les informations constituant les éléments logiques (ex : fichiers d’opérations) qui auraient été altérés ou qui auraient disparu (ex </w:t>
            </w:r>
            <w:r w:rsidRPr="00E23B06">
              <w:rPr>
                <w:rFonts w:cs="Arial"/>
                <w:color w:val="FF0000"/>
                <w:szCs w:val="18"/>
              </w:rPr>
              <w:t xml:space="preserve">: </w:t>
            </w:r>
            <w:r w:rsidRPr="00E23B06">
              <w:rPr>
                <w:rFonts w:cs="Arial"/>
                <w:szCs w:val="18"/>
              </w:rPr>
              <w:t>altération des supports d’archivage) ;</w:t>
            </w:r>
          </w:p>
        </w:tc>
        <w:tc>
          <w:tcPr>
            <w:tcW w:w="1350" w:type="dxa"/>
            <w:gridSpan w:val="2"/>
            <w:vMerge/>
            <w:shd w:val="clear" w:color="auto" w:fill="FFC000"/>
            <w:vAlign w:val="center"/>
            <w:hideMark/>
          </w:tcPr>
          <w:p w14:paraId="70CA634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F4FCF13" w14:textId="77777777" w:rsidR="00545AF2" w:rsidRPr="00A5045C" w:rsidRDefault="00545AF2" w:rsidP="00545AF2">
            <w:pPr>
              <w:spacing w:before="0" w:beforeAutospacing="0" w:after="0" w:afterAutospacing="0"/>
              <w:rPr>
                <w:rFonts w:cs="Arial"/>
                <w:szCs w:val="18"/>
              </w:rPr>
            </w:pPr>
          </w:p>
        </w:tc>
      </w:tr>
      <w:tr w:rsidR="00545AF2" w:rsidRPr="001148E2" w14:paraId="59258C4F"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646" w:type="dxa"/>
            <w:gridSpan w:val="2"/>
            <w:vMerge/>
            <w:shd w:val="clear" w:color="000000" w:fill="FFFFFF"/>
            <w:noWrap/>
            <w:vAlign w:val="center"/>
            <w:hideMark/>
          </w:tcPr>
          <w:p w14:paraId="3133BBD8"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8BA0B49" w14:textId="2DA68E80"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f) disposer d’une procédure visant à s’assurer de la lisibilité des reproductions destinées à l’archivage de longue durée.</w:t>
            </w:r>
          </w:p>
        </w:tc>
        <w:tc>
          <w:tcPr>
            <w:tcW w:w="1350" w:type="dxa"/>
            <w:gridSpan w:val="2"/>
            <w:vMerge/>
            <w:shd w:val="clear" w:color="auto" w:fill="FFC000"/>
            <w:vAlign w:val="center"/>
            <w:hideMark/>
          </w:tcPr>
          <w:p w14:paraId="044FC3BE"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31509CC" w14:textId="77777777" w:rsidR="00545AF2" w:rsidRPr="00A5045C" w:rsidRDefault="00545AF2" w:rsidP="00545AF2">
            <w:pPr>
              <w:spacing w:before="0" w:beforeAutospacing="0" w:after="0" w:afterAutospacing="0"/>
              <w:rPr>
                <w:rFonts w:cs="Arial"/>
                <w:szCs w:val="18"/>
              </w:rPr>
            </w:pPr>
          </w:p>
        </w:tc>
      </w:tr>
      <w:tr w:rsidR="00545AF2" w:rsidRPr="001148E2" w14:paraId="4504E702" w14:textId="77777777" w:rsidTr="00716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6679A84" w14:textId="089B627D" w:rsidR="00545AF2" w:rsidRPr="00A5045C" w:rsidRDefault="00545AF2" w:rsidP="00545AF2">
            <w:pPr>
              <w:spacing w:before="0" w:beforeAutospacing="0" w:after="0" w:afterAutospacing="0"/>
              <w:jc w:val="center"/>
              <w:rPr>
                <w:rFonts w:cs="Arial"/>
                <w:b/>
                <w:bCs/>
                <w:szCs w:val="18"/>
              </w:rPr>
            </w:pPr>
            <w:r>
              <w:rPr>
                <w:rFonts w:cs="Arial"/>
                <w:b/>
                <w:bCs/>
                <w:szCs w:val="18"/>
              </w:rPr>
              <w:lastRenderedPageBreak/>
              <w:t>6.2</w:t>
            </w:r>
          </w:p>
        </w:tc>
        <w:tc>
          <w:tcPr>
            <w:tcW w:w="10211" w:type="dxa"/>
            <w:gridSpan w:val="2"/>
            <w:shd w:val="clear" w:color="000000" w:fill="DDEBF7"/>
            <w:noWrap/>
            <w:vAlign w:val="center"/>
          </w:tcPr>
          <w:p w14:paraId="4F9F5EBE" w14:textId="2FC2D377" w:rsidR="00545AF2" w:rsidRPr="00A5045C" w:rsidRDefault="00545AF2" w:rsidP="00545AF2">
            <w:pPr>
              <w:spacing w:before="0" w:beforeAutospacing="0" w:after="0" w:afterAutospacing="0"/>
              <w:jc w:val="both"/>
              <w:rPr>
                <w:rFonts w:cs="Arial"/>
                <w:b/>
                <w:bCs/>
                <w:szCs w:val="18"/>
              </w:rPr>
            </w:pPr>
            <w:r w:rsidRPr="00735052">
              <w:rPr>
                <w:rFonts w:cs="Arial"/>
                <w:b/>
                <w:bCs/>
                <w:szCs w:val="18"/>
              </w:rPr>
              <w:t>L’émetteur dispose d’une procédure de remboursement des titres papiers prenant notamment en compte les informations relatives aux incidents de perte ou vol de titres papiers et permettant aux accepteurs de disposer préalablement de ces informations lors du remboursement d’un titre papier.</w:t>
            </w:r>
          </w:p>
        </w:tc>
        <w:tc>
          <w:tcPr>
            <w:tcW w:w="1350" w:type="dxa"/>
            <w:gridSpan w:val="2"/>
            <w:shd w:val="clear" w:color="000000" w:fill="DDEBF7"/>
            <w:vAlign w:val="center"/>
            <w:hideMark/>
          </w:tcPr>
          <w:p w14:paraId="30027FFB"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AF49BA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BC1763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646" w:type="dxa"/>
            <w:gridSpan w:val="2"/>
            <w:vMerge w:val="restart"/>
            <w:shd w:val="clear" w:color="000000" w:fill="FFFFFF"/>
            <w:noWrap/>
            <w:vAlign w:val="center"/>
          </w:tcPr>
          <w:p w14:paraId="681F032D"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tcPr>
          <w:p w14:paraId="08C9D22F" w14:textId="3A3E406E" w:rsidR="00B465EF" w:rsidRPr="00A5045C" w:rsidRDefault="00B465EF" w:rsidP="00B465EF">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4190F9B7" w14:textId="10FE16F8"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1C8B480" w14:textId="4C5CFE3B" w:rsidR="00B465EF" w:rsidRPr="00A5045C" w:rsidRDefault="00B465EF" w:rsidP="00B465EF">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6D6F11D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646" w:type="dxa"/>
            <w:gridSpan w:val="2"/>
            <w:vMerge/>
            <w:shd w:val="clear" w:color="000000" w:fill="FFFFFF"/>
            <w:noWrap/>
            <w:vAlign w:val="center"/>
          </w:tcPr>
          <w:p w14:paraId="72DA09C3"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31B56372" w14:textId="2FEA1BA0" w:rsidR="00545AF2" w:rsidRPr="00A5045C" w:rsidRDefault="00545AF2" w:rsidP="00545AF2">
            <w:pPr>
              <w:spacing w:before="0" w:beforeAutospacing="0" w:after="0" w:afterAutospacing="0"/>
              <w:jc w:val="both"/>
              <w:rPr>
                <w:rFonts w:cs="Arial"/>
                <w:szCs w:val="18"/>
              </w:rPr>
            </w:pPr>
            <w:r w:rsidRPr="00735052">
              <w:rPr>
                <w:rFonts w:cs="Arial"/>
                <w:szCs w:val="18"/>
              </w:rPr>
              <w:t>a) a mis en place un circuit d’alerte qui permet aux autres acteurs de déclarer que des titres papier ont été volés, perdus ou détériorés et que cela empêche leur remboursement.</w:t>
            </w:r>
          </w:p>
        </w:tc>
        <w:tc>
          <w:tcPr>
            <w:tcW w:w="1350" w:type="dxa"/>
            <w:gridSpan w:val="2"/>
            <w:vMerge/>
            <w:shd w:val="clear" w:color="auto" w:fill="FFC000"/>
            <w:vAlign w:val="center"/>
          </w:tcPr>
          <w:p w14:paraId="16B4CB95" w14:textId="77777777" w:rsidR="00545AF2" w:rsidRDefault="00545AF2" w:rsidP="00545AF2">
            <w:pPr>
              <w:spacing w:before="0" w:beforeAutospacing="0" w:after="0" w:afterAutospacing="0"/>
              <w:jc w:val="center"/>
              <w:rPr>
                <w:rFonts w:cs="Arial"/>
                <w:szCs w:val="18"/>
              </w:rPr>
            </w:pPr>
          </w:p>
        </w:tc>
        <w:tc>
          <w:tcPr>
            <w:tcW w:w="2545" w:type="dxa"/>
            <w:gridSpan w:val="2"/>
            <w:vMerge/>
            <w:shd w:val="clear" w:color="auto" w:fill="FFC000"/>
            <w:vAlign w:val="center"/>
          </w:tcPr>
          <w:p w14:paraId="30F2CB54" w14:textId="77777777" w:rsidR="00545AF2" w:rsidRDefault="00545AF2" w:rsidP="00545AF2">
            <w:pPr>
              <w:spacing w:before="0" w:beforeAutospacing="0" w:after="0" w:afterAutospacing="0"/>
              <w:jc w:val="center"/>
              <w:rPr>
                <w:rFonts w:cs="Arial"/>
                <w:color w:val="000000"/>
                <w:szCs w:val="18"/>
              </w:rPr>
            </w:pPr>
          </w:p>
        </w:tc>
      </w:tr>
      <w:tr w:rsidR="00545AF2" w:rsidRPr="001148E2" w14:paraId="507D5C70"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646" w:type="dxa"/>
            <w:gridSpan w:val="2"/>
            <w:vMerge/>
            <w:shd w:val="clear" w:color="000000" w:fill="FFFFFF"/>
            <w:noWrap/>
            <w:vAlign w:val="center"/>
            <w:hideMark/>
          </w:tcPr>
          <w:p w14:paraId="07E18649"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1E9519E" w14:textId="541B8FD6" w:rsidR="00545AF2" w:rsidRPr="00A5045C" w:rsidRDefault="00545AF2" w:rsidP="00545AF2">
            <w:pPr>
              <w:spacing w:before="0" w:beforeAutospacing="0" w:after="0" w:afterAutospacing="0"/>
              <w:jc w:val="both"/>
              <w:rPr>
                <w:rFonts w:cs="Arial"/>
                <w:szCs w:val="18"/>
              </w:rPr>
            </w:pPr>
            <w:r w:rsidRPr="00735052">
              <w:rPr>
                <w:rFonts w:cs="Arial"/>
                <w:szCs w:val="18"/>
              </w:rPr>
              <w:t>b) dispose d’une procédure de mise en opposition des titres papier déclarés volés, perdus ou détériorés.</w:t>
            </w:r>
          </w:p>
        </w:tc>
        <w:tc>
          <w:tcPr>
            <w:tcW w:w="1350" w:type="dxa"/>
            <w:gridSpan w:val="2"/>
            <w:vMerge/>
            <w:shd w:val="clear" w:color="auto" w:fill="FFC000"/>
            <w:vAlign w:val="center"/>
            <w:hideMark/>
          </w:tcPr>
          <w:p w14:paraId="1EED15F5"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8701FB7" w14:textId="77777777" w:rsidR="00545AF2" w:rsidRPr="00A5045C" w:rsidRDefault="00545AF2" w:rsidP="00545AF2">
            <w:pPr>
              <w:spacing w:before="0" w:beforeAutospacing="0" w:after="0" w:afterAutospacing="0"/>
              <w:rPr>
                <w:rFonts w:cs="Arial"/>
                <w:szCs w:val="18"/>
              </w:rPr>
            </w:pPr>
          </w:p>
        </w:tc>
      </w:tr>
      <w:tr w:rsidR="00545AF2" w:rsidRPr="001148E2" w14:paraId="2F6E94B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646" w:type="dxa"/>
            <w:gridSpan w:val="2"/>
            <w:vMerge/>
            <w:shd w:val="clear" w:color="000000" w:fill="FFFFFF"/>
            <w:noWrap/>
            <w:vAlign w:val="center"/>
            <w:hideMark/>
          </w:tcPr>
          <w:p w14:paraId="74500DE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3E3323C0" w14:textId="0A8D6B84" w:rsidR="00545AF2" w:rsidRPr="00A5045C" w:rsidRDefault="00545AF2" w:rsidP="00545AF2">
            <w:pPr>
              <w:spacing w:before="0" w:beforeAutospacing="0" w:after="0" w:afterAutospacing="0"/>
              <w:jc w:val="both"/>
              <w:rPr>
                <w:rFonts w:cs="Arial"/>
                <w:szCs w:val="18"/>
              </w:rPr>
            </w:pPr>
            <w:r w:rsidRPr="00735052">
              <w:rPr>
                <w:rFonts w:cs="Arial"/>
                <w:szCs w:val="18"/>
              </w:rPr>
              <w:t>c) a mis en place une procédure permettant aux autres acteurs de savoir si un titre papier donné a été mis en opposition.</w:t>
            </w:r>
          </w:p>
        </w:tc>
        <w:tc>
          <w:tcPr>
            <w:tcW w:w="1350" w:type="dxa"/>
            <w:gridSpan w:val="2"/>
            <w:vMerge/>
            <w:shd w:val="clear" w:color="auto" w:fill="FFC000"/>
            <w:vAlign w:val="center"/>
            <w:hideMark/>
          </w:tcPr>
          <w:p w14:paraId="4AEF50E5"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9FF3A5B" w14:textId="77777777" w:rsidR="00545AF2" w:rsidRPr="00A5045C" w:rsidRDefault="00545AF2" w:rsidP="00545AF2">
            <w:pPr>
              <w:spacing w:before="0" w:beforeAutospacing="0" w:after="0" w:afterAutospacing="0"/>
              <w:rPr>
                <w:rFonts w:cs="Arial"/>
                <w:szCs w:val="18"/>
              </w:rPr>
            </w:pPr>
          </w:p>
        </w:tc>
      </w:tr>
      <w:tr w:rsidR="00545AF2" w:rsidRPr="001148E2" w14:paraId="0D238AA4"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646" w:type="dxa"/>
            <w:gridSpan w:val="2"/>
            <w:vMerge/>
            <w:shd w:val="clear" w:color="000000" w:fill="FFFFFF"/>
            <w:noWrap/>
            <w:vAlign w:val="center"/>
            <w:hideMark/>
          </w:tcPr>
          <w:p w14:paraId="404D1524"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830D0EE" w14:textId="794480BA" w:rsidR="00545AF2" w:rsidRPr="00A5045C" w:rsidRDefault="00545AF2" w:rsidP="00545AF2">
            <w:pPr>
              <w:spacing w:before="0" w:beforeAutospacing="0" w:after="0" w:afterAutospacing="0"/>
              <w:jc w:val="both"/>
              <w:rPr>
                <w:rFonts w:cs="Arial"/>
                <w:szCs w:val="18"/>
              </w:rPr>
            </w:pPr>
            <w:r>
              <w:rPr>
                <w:rFonts w:cs="Arial"/>
                <w:szCs w:val="18"/>
              </w:rPr>
              <w:t>d)</w:t>
            </w:r>
            <w:r w:rsidRPr="00735052">
              <w:rPr>
                <w:rFonts w:cs="Arial"/>
                <w:szCs w:val="18"/>
              </w:rPr>
              <w:t xml:space="preserve"> effectue une vérification régulière de la bonne application et de l’adéquation de son circuit d’alerte et de ses procédures de mise en opposition et d’information des acteurs. Il prend, le cas échéant, les mesures correctives qui apparaissent nécessaires.</w:t>
            </w:r>
          </w:p>
        </w:tc>
        <w:tc>
          <w:tcPr>
            <w:tcW w:w="1350" w:type="dxa"/>
            <w:gridSpan w:val="2"/>
            <w:vMerge/>
            <w:shd w:val="clear" w:color="auto" w:fill="FFC000"/>
            <w:vAlign w:val="center"/>
            <w:hideMark/>
          </w:tcPr>
          <w:p w14:paraId="33CC25E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9D72141" w14:textId="77777777" w:rsidR="00545AF2" w:rsidRPr="00A5045C" w:rsidRDefault="00545AF2" w:rsidP="00545AF2">
            <w:pPr>
              <w:spacing w:before="0" w:beforeAutospacing="0" w:after="0" w:afterAutospacing="0"/>
              <w:rPr>
                <w:rFonts w:cs="Arial"/>
                <w:szCs w:val="18"/>
              </w:rPr>
            </w:pPr>
          </w:p>
        </w:tc>
      </w:tr>
      <w:tr w:rsidR="00545AF2" w:rsidRPr="001148E2" w14:paraId="763396A0"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F1C809A" w14:textId="3C3196BB" w:rsidR="00545AF2" w:rsidRPr="00A5045C" w:rsidRDefault="00545AF2" w:rsidP="00545AF2">
            <w:pPr>
              <w:spacing w:before="0" w:beforeAutospacing="0" w:after="0" w:afterAutospacing="0"/>
              <w:jc w:val="center"/>
              <w:rPr>
                <w:rFonts w:cs="Arial"/>
                <w:b/>
                <w:bCs/>
                <w:szCs w:val="18"/>
              </w:rPr>
            </w:pPr>
            <w:r>
              <w:rPr>
                <w:rFonts w:cs="Arial"/>
                <w:b/>
                <w:bCs/>
                <w:szCs w:val="18"/>
              </w:rPr>
              <w:t>6.3</w:t>
            </w:r>
            <w:r w:rsidRPr="00A5045C">
              <w:rPr>
                <w:rFonts w:cs="Arial"/>
                <w:b/>
                <w:bCs/>
                <w:szCs w:val="18"/>
              </w:rPr>
              <w:t xml:space="preserve"> </w:t>
            </w:r>
          </w:p>
        </w:tc>
        <w:tc>
          <w:tcPr>
            <w:tcW w:w="10211" w:type="dxa"/>
            <w:gridSpan w:val="2"/>
            <w:shd w:val="clear" w:color="000000" w:fill="DDEBF7"/>
            <w:noWrap/>
            <w:vAlign w:val="center"/>
          </w:tcPr>
          <w:p w14:paraId="537E556F" w14:textId="542098CD" w:rsidR="00545AF2" w:rsidRPr="00A5045C" w:rsidRDefault="00545AF2" w:rsidP="00545AF2">
            <w:pPr>
              <w:spacing w:before="0" w:beforeAutospacing="0" w:after="0" w:afterAutospacing="0"/>
              <w:jc w:val="both"/>
              <w:rPr>
                <w:rFonts w:cs="Arial"/>
                <w:b/>
                <w:bCs/>
                <w:szCs w:val="18"/>
              </w:rPr>
            </w:pPr>
            <w:r w:rsidRPr="00735052">
              <w:rPr>
                <w:rFonts w:cs="Arial"/>
                <w:b/>
                <w:bCs/>
                <w:szCs w:val="18"/>
              </w:rPr>
              <w:t>L’émetteur s’assure qu’un titre papier ne peut être remboursé qu’une seule fois quelle que soit la modalité choisie parmi celles qui sont offertes par l’émetteur.</w:t>
            </w:r>
          </w:p>
        </w:tc>
        <w:tc>
          <w:tcPr>
            <w:tcW w:w="1350" w:type="dxa"/>
            <w:gridSpan w:val="2"/>
            <w:shd w:val="clear" w:color="000000" w:fill="DDEBF7"/>
            <w:vAlign w:val="center"/>
            <w:hideMark/>
          </w:tcPr>
          <w:p w14:paraId="30A053B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11B8B63A"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7B94BF3"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646" w:type="dxa"/>
            <w:gridSpan w:val="2"/>
            <w:vMerge w:val="restart"/>
            <w:shd w:val="clear" w:color="000000" w:fill="FFFFFF"/>
            <w:noWrap/>
            <w:vAlign w:val="center"/>
          </w:tcPr>
          <w:p w14:paraId="342663DF"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tcPr>
          <w:p w14:paraId="3FD243A5" w14:textId="25A61908" w:rsidR="00B465EF" w:rsidRPr="00A5045C" w:rsidRDefault="00B465EF" w:rsidP="00B465EF">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0079DE6C" w14:textId="70FDEBF0"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5E5681AA" w14:textId="1B031751"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57429FB0"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646" w:type="dxa"/>
            <w:gridSpan w:val="2"/>
            <w:vMerge/>
            <w:shd w:val="clear" w:color="000000" w:fill="FFFFFF"/>
            <w:noWrap/>
            <w:vAlign w:val="center"/>
            <w:hideMark/>
          </w:tcPr>
          <w:p w14:paraId="0198EC20"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2A72F69" w14:textId="0F8A7FAA" w:rsidR="00545AF2" w:rsidRPr="00A5045C" w:rsidRDefault="00545AF2" w:rsidP="00545AF2">
            <w:pPr>
              <w:spacing w:before="0" w:beforeAutospacing="0" w:after="0" w:afterAutospacing="0"/>
              <w:jc w:val="both"/>
              <w:rPr>
                <w:rFonts w:cs="Arial"/>
                <w:szCs w:val="18"/>
              </w:rPr>
            </w:pPr>
            <w:r w:rsidRPr="00054095">
              <w:rPr>
                <w:rFonts w:cs="Arial"/>
                <w:szCs w:val="18"/>
              </w:rPr>
              <w:t>a) dispose d’une procédure éprouvée et régulièrement actualisée lui permettant de s’assurer qu’il ne rembourse un même titre qu’une seule fois, quelle que soit la forme de ce titre (papier ou dématérialisée) ;</w:t>
            </w:r>
          </w:p>
        </w:tc>
        <w:tc>
          <w:tcPr>
            <w:tcW w:w="1350" w:type="dxa"/>
            <w:gridSpan w:val="2"/>
            <w:vMerge/>
            <w:shd w:val="clear" w:color="auto" w:fill="FFC000"/>
            <w:vAlign w:val="center"/>
            <w:hideMark/>
          </w:tcPr>
          <w:p w14:paraId="42D2BA4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941AACF" w14:textId="77777777" w:rsidR="00545AF2" w:rsidRPr="00A5045C" w:rsidRDefault="00545AF2" w:rsidP="00545AF2">
            <w:pPr>
              <w:spacing w:before="0" w:beforeAutospacing="0" w:after="0" w:afterAutospacing="0"/>
              <w:rPr>
                <w:rFonts w:cs="Arial"/>
                <w:szCs w:val="18"/>
              </w:rPr>
            </w:pPr>
          </w:p>
        </w:tc>
      </w:tr>
      <w:tr w:rsidR="00545AF2" w:rsidRPr="001148E2" w14:paraId="6B73E408"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646" w:type="dxa"/>
            <w:gridSpan w:val="2"/>
            <w:vMerge/>
            <w:shd w:val="clear" w:color="000000" w:fill="FFFFFF"/>
            <w:noWrap/>
            <w:vAlign w:val="center"/>
            <w:hideMark/>
          </w:tcPr>
          <w:p w14:paraId="4EE95F7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69FF50AF" w14:textId="04E93647" w:rsidR="00545AF2" w:rsidRPr="00A5045C" w:rsidRDefault="00545AF2" w:rsidP="00545AF2">
            <w:pPr>
              <w:spacing w:before="0" w:beforeAutospacing="0" w:after="0" w:afterAutospacing="0"/>
              <w:jc w:val="both"/>
              <w:rPr>
                <w:rFonts w:cs="Arial"/>
                <w:szCs w:val="18"/>
              </w:rPr>
            </w:pPr>
            <w:r w:rsidRPr="00054095">
              <w:rPr>
                <w:rFonts w:cs="Arial"/>
                <w:szCs w:val="18"/>
              </w:rPr>
              <w:t>b) intervient</w:t>
            </w:r>
            <w:r>
              <w:rPr>
                <w:rFonts w:cs="Arial"/>
                <w:szCs w:val="18"/>
              </w:rPr>
              <w:t>, l</w:t>
            </w:r>
            <w:r w:rsidRPr="00054095">
              <w:rPr>
                <w:rFonts w:cs="Arial"/>
                <w:szCs w:val="18"/>
              </w:rPr>
              <w:t>ors d’une dema</w:t>
            </w:r>
            <w:r>
              <w:rPr>
                <w:rFonts w:cs="Arial"/>
                <w:szCs w:val="18"/>
              </w:rPr>
              <w:t>nde de remboursement en double,</w:t>
            </w:r>
            <w:r w:rsidRPr="00054095">
              <w:rPr>
                <w:rFonts w:cs="Arial"/>
                <w:szCs w:val="18"/>
              </w:rPr>
              <w:t xml:space="preserve"> auprès de l’acteur concerné et prend toute mesure utile visant à limiter le risque de répétition de l’incident. Lors de la procédure de gestion des doubles présentations physique/dématérialisé, il s’assure du caractère effectif de la récupération, auprès du bénéficiaire, des sommes versées auprès des accepteurs.</w:t>
            </w:r>
          </w:p>
        </w:tc>
        <w:tc>
          <w:tcPr>
            <w:tcW w:w="1350" w:type="dxa"/>
            <w:gridSpan w:val="2"/>
            <w:vMerge/>
            <w:shd w:val="clear" w:color="auto" w:fill="FFC000"/>
            <w:vAlign w:val="center"/>
            <w:hideMark/>
          </w:tcPr>
          <w:p w14:paraId="02C7333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F04EFE5" w14:textId="77777777" w:rsidR="00545AF2" w:rsidRPr="00A5045C" w:rsidRDefault="00545AF2" w:rsidP="00545AF2">
            <w:pPr>
              <w:spacing w:before="0" w:beforeAutospacing="0" w:after="0" w:afterAutospacing="0"/>
              <w:rPr>
                <w:rFonts w:cs="Arial"/>
                <w:szCs w:val="18"/>
              </w:rPr>
            </w:pPr>
          </w:p>
        </w:tc>
      </w:tr>
      <w:tr w:rsidR="00545AF2" w:rsidRPr="001148E2" w14:paraId="2055ED87"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21A87C50" w14:textId="3F23835B" w:rsidR="00545AF2" w:rsidRPr="00A5045C" w:rsidRDefault="00545AF2" w:rsidP="00545AF2">
            <w:pPr>
              <w:spacing w:before="0" w:beforeAutospacing="0" w:after="0" w:afterAutospacing="0"/>
              <w:jc w:val="center"/>
              <w:rPr>
                <w:rFonts w:cs="Arial"/>
                <w:b/>
                <w:bCs/>
                <w:szCs w:val="18"/>
              </w:rPr>
            </w:pPr>
            <w:r>
              <w:rPr>
                <w:rFonts w:cs="Arial"/>
                <w:b/>
                <w:bCs/>
                <w:szCs w:val="18"/>
              </w:rPr>
              <w:t>6.4</w:t>
            </w:r>
          </w:p>
        </w:tc>
        <w:tc>
          <w:tcPr>
            <w:tcW w:w="10211" w:type="dxa"/>
            <w:gridSpan w:val="2"/>
            <w:shd w:val="clear" w:color="000000" w:fill="DDEBF7"/>
            <w:noWrap/>
            <w:vAlign w:val="center"/>
          </w:tcPr>
          <w:p w14:paraId="57B5C980" w14:textId="4766E66C" w:rsidR="00545AF2" w:rsidRPr="00A5045C" w:rsidRDefault="00545AF2" w:rsidP="00545AF2">
            <w:pPr>
              <w:spacing w:before="0" w:beforeAutospacing="0" w:after="0" w:afterAutospacing="0"/>
              <w:jc w:val="both"/>
              <w:rPr>
                <w:rFonts w:cs="Arial"/>
                <w:b/>
                <w:bCs/>
                <w:szCs w:val="18"/>
              </w:rPr>
            </w:pPr>
            <w:r w:rsidRPr="00054095">
              <w:rPr>
                <w:rFonts w:cs="Arial"/>
                <w:b/>
                <w:bCs/>
                <w:szCs w:val="18"/>
              </w:rPr>
              <w:t>Les accepteurs reçoivent des émetteurs les informations nécessaires à la reconnaissance des titres papier contrefaits, en opposition ou nuls (déjà remboursés en dématérialisés).</w:t>
            </w:r>
          </w:p>
        </w:tc>
        <w:tc>
          <w:tcPr>
            <w:tcW w:w="1350" w:type="dxa"/>
            <w:gridSpan w:val="2"/>
            <w:shd w:val="clear" w:color="000000" w:fill="DDEBF7"/>
            <w:vAlign w:val="center"/>
            <w:hideMark/>
          </w:tcPr>
          <w:p w14:paraId="7400156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243064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7F8A38C"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646" w:type="dxa"/>
            <w:gridSpan w:val="2"/>
            <w:vMerge w:val="restart"/>
            <w:shd w:val="clear" w:color="000000" w:fill="FFFFFF"/>
            <w:noWrap/>
            <w:vAlign w:val="center"/>
          </w:tcPr>
          <w:p w14:paraId="1B860BF1"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tcPr>
          <w:p w14:paraId="0084E35D" w14:textId="0E593DE4" w:rsidR="00B465EF" w:rsidRPr="00A5045C" w:rsidRDefault="00B465EF" w:rsidP="00B465EF">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05130CDA" w14:textId="7E4BD639"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46E0C529" w14:textId="77B62D52"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10315E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58A710CB"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1C3C1AE8" w14:textId="6E68B640" w:rsidR="00545AF2" w:rsidRPr="00A5045C" w:rsidRDefault="00545AF2" w:rsidP="00545AF2">
            <w:pPr>
              <w:spacing w:before="0" w:beforeAutospacing="0" w:after="0" w:afterAutospacing="0"/>
              <w:jc w:val="both"/>
              <w:rPr>
                <w:rFonts w:cs="Arial"/>
                <w:szCs w:val="18"/>
              </w:rPr>
            </w:pPr>
            <w:r>
              <w:rPr>
                <w:rFonts w:cs="Arial"/>
                <w:szCs w:val="18"/>
              </w:rPr>
              <w:t>a)</w:t>
            </w:r>
            <w:r w:rsidRPr="00054095">
              <w:rPr>
                <w:rFonts w:cs="Arial"/>
                <w:szCs w:val="18"/>
              </w:rPr>
              <w:t xml:space="preserve"> met à la disposition des bénéficiaires des titres papier comportant un ou plusieurs procédés destinés à protéger ceux-ci contre la falsification et la contrefaçon (ex : papier sensible au lavage et au grattage, encres réagissant à divers types d’éclairages, micro lettres, filigranes, etc.).</w:t>
            </w:r>
          </w:p>
        </w:tc>
        <w:tc>
          <w:tcPr>
            <w:tcW w:w="1350" w:type="dxa"/>
            <w:gridSpan w:val="2"/>
            <w:vMerge/>
            <w:shd w:val="clear" w:color="auto" w:fill="FFC000"/>
            <w:vAlign w:val="center"/>
            <w:hideMark/>
          </w:tcPr>
          <w:p w14:paraId="48E103F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629BE2" w14:textId="77777777" w:rsidR="00545AF2" w:rsidRPr="00A5045C" w:rsidRDefault="00545AF2" w:rsidP="00545AF2">
            <w:pPr>
              <w:spacing w:before="0" w:beforeAutospacing="0" w:after="0" w:afterAutospacing="0"/>
              <w:rPr>
                <w:rFonts w:cs="Arial"/>
                <w:szCs w:val="18"/>
              </w:rPr>
            </w:pPr>
          </w:p>
        </w:tc>
      </w:tr>
      <w:tr w:rsidR="00545AF2" w:rsidRPr="001148E2" w14:paraId="79A9C17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56EE349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0B6370E0" w14:textId="2AED7954" w:rsidR="00545AF2" w:rsidRPr="00A5045C" w:rsidRDefault="00545AF2" w:rsidP="00545AF2">
            <w:pPr>
              <w:spacing w:before="0" w:beforeAutospacing="0" w:after="0" w:afterAutospacing="0"/>
              <w:jc w:val="both"/>
              <w:rPr>
                <w:rFonts w:cs="Arial"/>
                <w:szCs w:val="18"/>
              </w:rPr>
            </w:pPr>
            <w:r w:rsidRPr="00054095">
              <w:rPr>
                <w:rFonts w:cs="Arial"/>
                <w:szCs w:val="18"/>
              </w:rPr>
              <w:t>b) informe les acteurs impliqués dans le traitement des formules papier des procédés dont il a doté ses formules afin de leur permettre d’être mieux protégés contre la falsification et la contrefaçon.</w:t>
            </w:r>
          </w:p>
        </w:tc>
        <w:tc>
          <w:tcPr>
            <w:tcW w:w="1350" w:type="dxa"/>
            <w:gridSpan w:val="2"/>
            <w:vMerge/>
            <w:shd w:val="clear" w:color="auto" w:fill="FFC000"/>
            <w:vAlign w:val="center"/>
            <w:hideMark/>
          </w:tcPr>
          <w:p w14:paraId="00EDFED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5556FAB" w14:textId="77777777" w:rsidR="00545AF2" w:rsidRPr="00A5045C" w:rsidRDefault="00545AF2" w:rsidP="00545AF2">
            <w:pPr>
              <w:spacing w:before="0" w:beforeAutospacing="0" w:after="0" w:afterAutospacing="0"/>
              <w:rPr>
                <w:rFonts w:cs="Arial"/>
                <w:szCs w:val="18"/>
              </w:rPr>
            </w:pPr>
          </w:p>
        </w:tc>
      </w:tr>
      <w:tr w:rsidR="00545AF2" w:rsidRPr="001148E2" w14:paraId="1EE9A743" w14:textId="77777777" w:rsidTr="00110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646" w:type="dxa"/>
            <w:gridSpan w:val="2"/>
            <w:shd w:val="clear" w:color="000000" w:fill="DDEBF7"/>
            <w:noWrap/>
            <w:vAlign w:val="center"/>
            <w:hideMark/>
          </w:tcPr>
          <w:p w14:paraId="69EE9CEE" w14:textId="71A0ED00" w:rsidR="00545AF2" w:rsidRPr="00A5045C" w:rsidRDefault="00545AF2" w:rsidP="00545AF2">
            <w:pPr>
              <w:spacing w:before="0" w:beforeAutospacing="0" w:after="0" w:afterAutospacing="0"/>
              <w:jc w:val="center"/>
              <w:rPr>
                <w:rFonts w:cs="Arial"/>
                <w:b/>
                <w:bCs/>
                <w:szCs w:val="18"/>
              </w:rPr>
            </w:pPr>
            <w:r w:rsidRPr="00A5045C">
              <w:rPr>
                <w:rFonts w:cs="Arial"/>
                <w:b/>
                <w:bCs/>
                <w:szCs w:val="18"/>
              </w:rPr>
              <w:t>6.</w:t>
            </w:r>
            <w:r>
              <w:rPr>
                <w:rFonts w:cs="Arial"/>
                <w:b/>
                <w:bCs/>
                <w:szCs w:val="18"/>
              </w:rPr>
              <w:t>5</w:t>
            </w:r>
            <w:r w:rsidRPr="00A5045C">
              <w:rPr>
                <w:rFonts w:cs="Arial"/>
                <w:b/>
                <w:bCs/>
                <w:szCs w:val="18"/>
              </w:rPr>
              <w:t xml:space="preserve"> </w:t>
            </w:r>
          </w:p>
        </w:tc>
        <w:tc>
          <w:tcPr>
            <w:tcW w:w="10211" w:type="dxa"/>
            <w:gridSpan w:val="2"/>
            <w:shd w:val="clear" w:color="000000" w:fill="DDEBF7"/>
            <w:noWrap/>
            <w:vAlign w:val="center"/>
          </w:tcPr>
          <w:p w14:paraId="0207346D" w14:textId="424D9D88" w:rsidR="00545AF2" w:rsidRPr="00A5045C" w:rsidRDefault="00545AF2" w:rsidP="00545AF2">
            <w:pPr>
              <w:spacing w:before="0" w:beforeAutospacing="0" w:after="0" w:afterAutospacing="0"/>
              <w:jc w:val="both"/>
              <w:rPr>
                <w:rFonts w:cs="Arial"/>
                <w:b/>
                <w:bCs/>
                <w:szCs w:val="18"/>
              </w:rPr>
            </w:pPr>
            <w:r w:rsidRPr="00054095">
              <w:rPr>
                <w:rFonts w:cs="Arial"/>
                <w:b/>
                <w:bCs/>
                <w:szCs w:val="18"/>
              </w:rPr>
              <w:t>Les environnements de production (centres de fabrication et personnalisation, plateaux informatiques, plates-formes de gestion ou d’archivage temporaire et long terme) sont situés dans des locaux bénéficiant de mesures de sécurité adaptées aux risques encourus. Le fonctionnement et l’efficacité de ces mesures sont régulièrement testés et leur accès est strictement encadré.</w:t>
            </w:r>
          </w:p>
        </w:tc>
        <w:tc>
          <w:tcPr>
            <w:tcW w:w="1350" w:type="dxa"/>
            <w:gridSpan w:val="2"/>
            <w:shd w:val="clear" w:color="000000" w:fill="DDEBF7"/>
            <w:vAlign w:val="center"/>
            <w:hideMark/>
          </w:tcPr>
          <w:p w14:paraId="6972E488"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7B61251"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7EEF66B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646" w:type="dxa"/>
            <w:gridSpan w:val="2"/>
            <w:vMerge w:val="restart"/>
            <w:shd w:val="clear" w:color="000000" w:fill="FFFFFF"/>
            <w:noWrap/>
            <w:vAlign w:val="center"/>
          </w:tcPr>
          <w:p w14:paraId="04C2764E"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tcPr>
          <w:p w14:paraId="33415452" w14:textId="4FFE2EE1" w:rsidR="00B465EF" w:rsidRPr="00A5045C" w:rsidRDefault="00B465EF" w:rsidP="00B465EF">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6C4C9A4A" w14:textId="7F075033"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51C7F42E" w14:textId="07B3D097" w:rsidR="00B465EF" w:rsidRPr="00A5045C" w:rsidRDefault="00B465EF" w:rsidP="00B465EF">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532700B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646" w:type="dxa"/>
            <w:gridSpan w:val="2"/>
            <w:vMerge/>
            <w:shd w:val="clear" w:color="000000" w:fill="FFFFFF"/>
            <w:noWrap/>
            <w:vAlign w:val="center"/>
            <w:hideMark/>
          </w:tcPr>
          <w:p w14:paraId="414585A7"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2325309C" w14:textId="41EA6BC1" w:rsidR="00545AF2" w:rsidRPr="00A5045C" w:rsidRDefault="00545AF2" w:rsidP="00545AF2">
            <w:pPr>
              <w:spacing w:before="0" w:beforeAutospacing="0" w:after="0" w:afterAutospacing="0"/>
              <w:jc w:val="both"/>
              <w:rPr>
                <w:rFonts w:cs="Arial"/>
                <w:szCs w:val="18"/>
              </w:rPr>
            </w:pPr>
            <w:r>
              <w:rPr>
                <w:rFonts w:cs="Arial"/>
                <w:szCs w:val="18"/>
              </w:rPr>
              <w:t>a)</w:t>
            </w:r>
            <w:r w:rsidRPr="00054095">
              <w:rPr>
                <w:rFonts w:cs="Arial"/>
                <w:szCs w:val="18"/>
              </w:rPr>
              <w:t xml:space="preserve"> dispose d’un plan de sécurité physique couvrant tous les locaux affectés aux activités se rapportant aux titres papier. Ces locaux sont notamment ceux dans lesquels sont fabriqués, stockés, échangés, remboursés ou détruits les titres papier. Ce sont également ceux des plateformes de gestion qui donnent accès aux logiciels de traitement des opérations, les plateaux informatiques qui hébergent les infrastructures de réseaux ou les matériels de tri-capture, ou encore les lieux de stockage temporaire ou d’archivage long terme des actifs logiques (reproductions, données de remboursement).</w:t>
            </w:r>
          </w:p>
        </w:tc>
        <w:tc>
          <w:tcPr>
            <w:tcW w:w="1350" w:type="dxa"/>
            <w:gridSpan w:val="2"/>
            <w:vMerge/>
            <w:shd w:val="clear" w:color="auto" w:fill="FFC000"/>
            <w:vAlign w:val="center"/>
            <w:hideMark/>
          </w:tcPr>
          <w:p w14:paraId="64C69B7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2466F42" w14:textId="77777777" w:rsidR="00545AF2" w:rsidRPr="00A5045C" w:rsidRDefault="00545AF2" w:rsidP="00545AF2">
            <w:pPr>
              <w:spacing w:before="0" w:beforeAutospacing="0" w:after="0" w:afterAutospacing="0"/>
              <w:rPr>
                <w:rFonts w:cs="Arial"/>
                <w:szCs w:val="18"/>
              </w:rPr>
            </w:pPr>
          </w:p>
        </w:tc>
      </w:tr>
      <w:tr w:rsidR="00545AF2" w:rsidRPr="001148E2" w14:paraId="3A0EB17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A52EF68"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AB71F7A" w14:textId="7F71B9C9" w:rsidR="00545AF2" w:rsidRPr="00A5045C" w:rsidRDefault="00545AF2" w:rsidP="00545AF2">
            <w:pPr>
              <w:spacing w:before="0" w:beforeAutospacing="0" w:after="0" w:afterAutospacing="0"/>
              <w:jc w:val="both"/>
              <w:rPr>
                <w:rFonts w:cs="Arial"/>
                <w:szCs w:val="18"/>
              </w:rPr>
            </w:pPr>
            <w:r w:rsidRPr="00054095">
              <w:rPr>
                <w:rFonts w:cs="Arial"/>
                <w:szCs w:val="18"/>
              </w:rPr>
              <w:t>b) prévoit</w:t>
            </w:r>
            <w:r>
              <w:rPr>
                <w:rFonts w:cs="Arial"/>
                <w:szCs w:val="18"/>
              </w:rPr>
              <w:t>,</w:t>
            </w:r>
            <w:r w:rsidRPr="00054095">
              <w:rPr>
                <w:rFonts w:cs="Arial"/>
                <w:szCs w:val="18"/>
              </w:rPr>
              <w:t xml:space="preserve"> </w:t>
            </w:r>
            <w:r>
              <w:rPr>
                <w:rFonts w:cs="Arial"/>
                <w:szCs w:val="18"/>
              </w:rPr>
              <w:t>dans l</w:t>
            </w:r>
            <w:r w:rsidRPr="00054095">
              <w:rPr>
                <w:rFonts w:cs="Arial"/>
                <w:szCs w:val="18"/>
              </w:rPr>
              <w:t>e plan de sécurité physique des locaux</w:t>
            </w:r>
            <w:r>
              <w:rPr>
                <w:rFonts w:cs="Arial"/>
                <w:szCs w:val="18"/>
              </w:rPr>
              <w:t>,</w:t>
            </w:r>
            <w:r w:rsidRPr="00054095">
              <w:rPr>
                <w:rFonts w:cs="Arial"/>
                <w:szCs w:val="18"/>
              </w:rPr>
              <w:t xml:space="preserve"> des mesures adaptées aux risques relatifs aux biens qui y sont gérés qui couvrent au moins la protection contre l’incendie, les incidents liés à l’alimentation en fluides (eau, électricité) et la lutte contre l’intrusion et sont régulièrement testées et vérifiées.</w:t>
            </w:r>
          </w:p>
        </w:tc>
        <w:tc>
          <w:tcPr>
            <w:tcW w:w="1350" w:type="dxa"/>
            <w:gridSpan w:val="2"/>
            <w:vMerge/>
            <w:shd w:val="clear" w:color="auto" w:fill="FFC000"/>
            <w:vAlign w:val="center"/>
            <w:hideMark/>
          </w:tcPr>
          <w:p w14:paraId="5E3F7C16"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4884011" w14:textId="77777777" w:rsidR="00545AF2" w:rsidRPr="00A5045C" w:rsidRDefault="00545AF2" w:rsidP="00545AF2">
            <w:pPr>
              <w:spacing w:before="0" w:beforeAutospacing="0" w:after="0" w:afterAutospacing="0"/>
              <w:rPr>
                <w:rFonts w:cs="Arial"/>
                <w:szCs w:val="18"/>
              </w:rPr>
            </w:pPr>
          </w:p>
        </w:tc>
      </w:tr>
      <w:tr w:rsidR="00545AF2" w:rsidRPr="001148E2" w14:paraId="7EAC9364"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646" w:type="dxa"/>
            <w:gridSpan w:val="2"/>
            <w:vMerge/>
            <w:shd w:val="clear" w:color="000000" w:fill="FFFFFF"/>
            <w:noWrap/>
            <w:vAlign w:val="center"/>
            <w:hideMark/>
          </w:tcPr>
          <w:p w14:paraId="60BB855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14F7234A" w14:textId="06DC8E3C" w:rsidR="00545AF2" w:rsidRPr="00A5045C" w:rsidRDefault="00545AF2" w:rsidP="00545AF2">
            <w:pPr>
              <w:spacing w:before="0" w:beforeAutospacing="0" w:after="0" w:afterAutospacing="0"/>
              <w:jc w:val="both"/>
              <w:rPr>
                <w:rFonts w:cs="Arial"/>
                <w:szCs w:val="18"/>
              </w:rPr>
            </w:pPr>
            <w:r w:rsidRPr="00054095">
              <w:rPr>
                <w:rFonts w:cs="Arial"/>
                <w:szCs w:val="18"/>
              </w:rPr>
              <w:t>c) dispose d’un mode de stockage sécurisé adapté à la protection des moyens physiques et logiques entrant dans la constitution des signes de sécurité présents dans les titres papier qu’il fabrique.</w:t>
            </w:r>
          </w:p>
        </w:tc>
        <w:tc>
          <w:tcPr>
            <w:tcW w:w="1350" w:type="dxa"/>
            <w:gridSpan w:val="2"/>
            <w:vMerge/>
            <w:shd w:val="clear" w:color="auto" w:fill="FFC000"/>
            <w:vAlign w:val="center"/>
            <w:hideMark/>
          </w:tcPr>
          <w:p w14:paraId="681188B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3B62B6C" w14:textId="77777777" w:rsidR="00545AF2" w:rsidRPr="00A5045C" w:rsidRDefault="00545AF2" w:rsidP="00545AF2">
            <w:pPr>
              <w:spacing w:before="0" w:beforeAutospacing="0" w:after="0" w:afterAutospacing="0"/>
              <w:rPr>
                <w:rFonts w:cs="Arial"/>
                <w:szCs w:val="18"/>
              </w:rPr>
            </w:pPr>
          </w:p>
        </w:tc>
      </w:tr>
      <w:tr w:rsidR="00545AF2" w:rsidRPr="001148E2" w14:paraId="76E400D2"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3D9F5645"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4BD611F" w14:textId="4F3F52E7" w:rsidR="00545AF2" w:rsidRPr="00A5045C" w:rsidRDefault="00545AF2" w:rsidP="00545AF2">
            <w:pPr>
              <w:spacing w:before="0" w:beforeAutospacing="0" w:after="0" w:afterAutospacing="0"/>
              <w:jc w:val="both"/>
              <w:rPr>
                <w:rFonts w:cs="Arial"/>
                <w:szCs w:val="18"/>
              </w:rPr>
            </w:pPr>
            <w:r w:rsidRPr="00054095">
              <w:rPr>
                <w:rFonts w:cs="Arial"/>
                <w:szCs w:val="18"/>
              </w:rPr>
              <w:t>d) dispose de traces des accès aux locaux dans lesquels sont entreposés les biens qui apparaissent les plus sensibles au regard de son analyse de risques, afin de pouvoir les utiliser en cas d’incident.</w:t>
            </w:r>
          </w:p>
        </w:tc>
        <w:tc>
          <w:tcPr>
            <w:tcW w:w="1350" w:type="dxa"/>
            <w:gridSpan w:val="2"/>
            <w:vMerge/>
            <w:shd w:val="clear" w:color="auto" w:fill="FFC000"/>
            <w:vAlign w:val="center"/>
            <w:hideMark/>
          </w:tcPr>
          <w:p w14:paraId="1043A3C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DEDCD27" w14:textId="77777777" w:rsidR="00545AF2" w:rsidRPr="00A5045C" w:rsidRDefault="00545AF2" w:rsidP="00545AF2">
            <w:pPr>
              <w:spacing w:before="0" w:beforeAutospacing="0" w:after="0" w:afterAutospacing="0"/>
              <w:rPr>
                <w:rFonts w:cs="Arial"/>
                <w:szCs w:val="18"/>
              </w:rPr>
            </w:pPr>
          </w:p>
        </w:tc>
      </w:tr>
      <w:tr w:rsidR="00545AF2" w:rsidRPr="001148E2" w14:paraId="723A3501"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4EA72D62" w14:textId="69FCAA37" w:rsidR="00545AF2" w:rsidRPr="00A5045C" w:rsidRDefault="00545AF2" w:rsidP="00545AF2">
            <w:pPr>
              <w:spacing w:before="0" w:beforeAutospacing="0" w:after="0" w:afterAutospacing="0"/>
              <w:jc w:val="center"/>
              <w:rPr>
                <w:rFonts w:cs="Arial"/>
                <w:b/>
                <w:bCs/>
                <w:szCs w:val="18"/>
              </w:rPr>
            </w:pPr>
            <w:r w:rsidRPr="00A5045C">
              <w:rPr>
                <w:rFonts w:cs="Arial"/>
                <w:b/>
                <w:bCs/>
                <w:szCs w:val="18"/>
              </w:rPr>
              <w:t>6.</w:t>
            </w:r>
            <w:r>
              <w:rPr>
                <w:rFonts w:cs="Arial"/>
                <w:b/>
                <w:bCs/>
                <w:szCs w:val="18"/>
              </w:rPr>
              <w:t>6</w:t>
            </w:r>
            <w:r w:rsidRPr="00A5045C">
              <w:rPr>
                <w:rFonts w:cs="Arial"/>
                <w:b/>
                <w:bCs/>
                <w:szCs w:val="18"/>
              </w:rPr>
              <w:t xml:space="preserve"> </w:t>
            </w:r>
          </w:p>
        </w:tc>
        <w:tc>
          <w:tcPr>
            <w:tcW w:w="10211" w:type="dxa"/>
            <w:gridSpan w:val="2"/>
            <w:shd w:val="clear" w:color="000000" w:fill="DDEBF7"/>
            <w:noWrap/>
            <w:vAlign w:val="center"/>
          </w:tcPr>
          <w:p w14:paraId="7E84F625" w14:textId="487D0A12" w:rsidR="00545AF2" w:rsidRPr="00A5045C" w:rsidRDefault="00545AF2" w:rsidP="00545AF2">
            <w:pPr>
              <w:spacing w:before="0" w:beforeAutospacing="0" w:after="0" w:afterAutospacing="0"/>
              <w:jc w:val="both"/>
              <w:rPr>
                <w:rFonts w:cs="Arial"/>
                <w:b/>
                <w:bCs/>
                <w:szCs w:val="18"/>
              </w:rPr>
            </w:pPr>
            <w:r w:rsidRPr="00674A47">
              <w:rPr>
                <w:rFonts w:cs="Arial"/>
                <w:b/>
                <w:bCs/>
                <w:szCs w:val="18"/>
              </w:rPr>
              <w:t>L’acheminement des titres (originaux ou équivalents numérisés) lors de leur fabrication et leur mise à disposition ainsi que les transferts de flux d’informations liés à la commande ou au remboursement de titres bénéficient de mesures de protection appropriées destinées à en prévenir l’altération, le vol, ou la perte.</w:t>
            </w:r>
          </w:p>
        </w:tc>
        <w:tc>
          <w:tcPr>
            <w:tcW w:w="1350" w:type="dxa"/>
            <w:gridSpan w:val="2"/>
            <w:shd w:val="clear" w:color="000000" w:fill="DDEBF7"/>
            <w:vAlign w:val="center"/>
            <w:hideMark/>
          </w:tcPr>
          <w:p w14:paraId="4DE3D8B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8FD8DE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0CC6AAA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646" w:type="dxa"/>
            <w:gridSpan w:val="2"/>
            <w:vMerge w:val="restart"/>
            <w:shd w:val="clear" w:color="000000" w:fill="FFFFFF"/>
            <w:noWrap/>
            <w:vAlign w:val="center"/>
          </w:tcPr>
          <w:p w14:paraId="3E104FE4"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tcPr>
          <w:p w14:paraId="12D5A04B" w14:textId="205CDDDF" w:rsidR="00B465EF" w:rsidRPr="00A5045C" w:rsidRDefault="00B465EF" w:rsidP="00B465EF">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28731525" w14:textId="7DCA018B"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1FEF33F" w14:textId="620EE4E9"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77A67E0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trPr>
        <w:tc>
          <w:tcPr>
            <w:tcW w:w="646" w:type="dxa"/>
            <w:gridSpan w:val="2"/>
            <w:vMerge/>
            <w:shd w:val="clear" w:color="000000" w:fill="FFFFFF"/>
            <w:noWrap/>
            <w:vAlign w:val="center"/>
            <w:hideMark/>
          </w:tcPr>
          <w:p w14:paraId="3C8E932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44B10781" w14:textId="1E71A6DA" w:rsidR="00545AF2" w:rsidRPr="00A5045C" w:rsidRDefault="00545AF2" w:rsidP="00545AF2">
            <w:pPr>
              <w:spacing w:before="0" w:beforeAutospacing="0" w:after="0" w:afterAutospacing="0"/>
              <w:jc w:val="both"/>
              <w:rPr>
                <w:rFonts w:cs="Arial"/>
                <w:szCs w:val="18"/>
              </w:rPr>
            </w:pPr>
            <w:r>
              <w:rPr>
                <w:rFonts w:cs="Arial"/>
                <w:szCs w:val="18"/>
              </w:rPr>
              <w:t>a)</w:t>
            </w:r>
            <w:r w:rsidRPr="00674A47">
              <w:rPr>
                <w:rFonts w:cs="Arial"/>
                <w:szCs w:val="18"/>
              </w:rPr>
              <w:t xml:space="preserve"> a analysé ses risques de perte ou de vol des titres papier, dès les premiers stades de leur fabrication, ainsi que des supports d’équivalents transportés. Cette analyse couvre l’ensemble des acheminements, notamment ceux qui sont liés aux déplacements au cours des différents stades de fabrication, à la mise à disposition, la collecte, le traitement, l’archivage et la destruction ou le transport dans le cadre des échanges physiques.</w:t>
            </w:r>
          </w:p>
        </w:tc>
        <w:tc>
          <w:tcPr>
            <w:tcW w:w="1350" w:type="dxa"/>
            <w:gridSpan w:val="2"/>
            <w:vMerge/>
            <w:shd w:val="clear" w:color="auto" w:fill="FFC000"/>
            <w:vAlign w:val="center"/>
            <w:hideMark/>
          </w:tcPr>
          <w:p w14:paraId="5679B7C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68B436E" w14:textId="77777777" w:rsidR="00545AF2" w:rsidRPr="00A5045C" w:rsidRDefault="00545AF2" w:rsidP="00545AF2">
            <w:pPr>
              <w:spacing w:before="0" w:beforeAutospacing="0" w:after="0" w:afterAutospacing="0"/>
              <w:rPr>
                <w:rFonts w:cs="Arial"/>
                <w:szCs w:val="18"/>
              </w:rPr>
            </w:pPr>
          </w:p>
        </w:tc>
      </w:tr>
      <w:tr w:rsidR="00545AF2" w:rsidRPr="001148E2" w14:paraId="1741C552"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
        </w:trPr>
        <w:tc>
          <w:tcPr>
            <w:tcW w:w="646" w:type="dxa"/>
            <w:gridSpan w:val="2"/>
            <w:vMerge/>
            <w:shd w:val="clear" w:color="000000" w:fill="FFFFFF"/>
            <w:noWrap/>
            <w:vAlign w:val="center"/>
            <w:hideMark/>
          </w:tcPr>
          <w:p w14:paraId="493E56D8"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7967734" w14:textId="147109D1" w:rsidR="00545AF2" w:rsidRPr="00A5045C" w:rsidRDefault="00545AF2" w:rsidP="00545AF2">
            <w:pPr>
              <w:spacing w:before="0" w:beforeAutospacing="0" w:after="0" w:afterAutospacing="0"/>
              <w:jc w:val="both"/>
              <w:rPr>
                <w:rFonts w:cs="Arial"/>
                <w:szCs w:val="18"/>
              </w:rPr>
            </w:pPr>
            <w:r w:rsidRPr="00674A47">
              <w:rPr>
                <w:rFonts w:cs="Arial"/>
                <w:szCs w:val="18"/>
              </w:rPr>
              <w:t>b) dispose de procédures d’acheminement appropriées qui permettent de répondre aux besoins de sécurité identifiés par l’analyse. Ces procédures mettent notamment en œuvre des moyens de protection, de détection d’incident et d’alerte qui répondent à la sensibilité des biens acheminés et des risques potentiels pour l’émetteur et les autres acteurs du système de paiement par titres papier si ces biens venaient à être volés ou perdus.</w:t>
            </w:r>
          </w:p>
        </w:tc>
        <w:tc>
          <w:tcPr>
            <w:tcW w:w="1350" w:type="dxa"/>
            <w:gridSpan w:val="2"/>
            <w:vMerge/>
            <w:shd w:val="clear" w:color="auto" w:fill="FFC000"/>
            <w:vAlign w:val="center"/>
            <w:hideMark/>
          </w:tcPr>
          <w:p w14:paraId="626804D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B8DBABD" w14:textId="77777777" w:rsidR="00545AF2" w:rsidRPr="00A5045C" w:rsidRDefault="00545AF2" w:rsidP="00545AF2">
            <w:pPr>
              <w:spacing w:before="0" w:beforeAutospacing="0" w:after="0" w:afterAutospacing="0"/>
              <w:rPr>
                <w:rFonts w:cs="Arial"/>
                <w:szCs w:val="18"/>
              </w:rPr>
            </w:pPr>
          </w:p>
        </w:tc>
      </w:tr>
      <w:tr w:rsidR="00545AF2" w:rsidRPr="001148E2" w14:paraId="647BF9DC"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646" w:type="dxa"/>
            <w:gridSpan w:val="2"/>
            <w:vMerge/>
            <w:shd w:val="clear" w:color="000000" w:fill="FFFFFF"/>
            <w:noWrap/>
            <w:vAlign w:val="center"/>
            <w:hideMark/>
          </w:tcPr>
          <w:p w14:paraId="513B9A67"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69F436C" w14:textId="7128A7DE" w:rsidR="00545AF2" w:rsidRPr="00A5045C" w:rsidRDefault="00545AF2" w:rsidP="00545AF2">
            <w:pPr>
              <w:spacing w:before="0" w:beforeAutospacing="0" w:after="0" w:afterAutospacing="0"/>
              <w:jc w:val="both"/>
              <w:rPr>
                <w:rFonts w:cs="Arial"/>
                <w:szCs w:val="18"/>
              </w:rPr>
            </w:pPr>
            <w:r>
              <w:rPr>
                <w:rFonts w:cs="Arial"/>
                <w:szCs w:val="18"/>
              </w:rPr>
              <w:t>c)</w:t>
            </w:r>
            <w:r w:rsidRPr="00674A47">
              <w:rPr>
                <w:rFonts w:cs="Arial"/>
                <w:szCs w:val="18"/>
              </w:rPr>
              <w:t xml:space="preserve"> effectue un suivi régulier de l’adéquation et de la bonne application de ses procédures.</w:t>
            </w:r>
          </w:p>
        </w:tc>
        <w:tc>
          <w:tcPr>
            <w:tcW w:w="1350" w:type="dxa"/>
            <w:gridSpan w:val="2"/>
            <w:vMerge/>
            <w:shd w:val="clear" w:color="auto" w:fill="FFC000"/>
            <w:vAlign w:val="center"/>
            <w:hideMark/>
          </w:tcPr>
          <w:p w14:paraId="56EA768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D2E3D9" w14:textId="77777777" w:rsidR="00545AF2" w:rsidRPr="00A5045C" w:rsidRDefault="00545AF2" w:rsidP="00545AF2">
            <w:pPr>
              <w:spacing w:before="0" w:beforeAutospacing="0" w:after="0" w:afterAutospacing="0"/>
              <w:rPr>
                <w:rFonts w:cs="Arial"/>
                <w:szCs w:val="18"/>
              </w:rPr>
            </w:pPr>
          </w:p>
        </w:tc>
      </w:tr>
      <w:tr w:rsidR="00545AF2" w:rsidRPr="001148E2" w14:paraId="6577781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032D5AD9"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7E02D5D9" w14:textId="75E67D91" w:rsidR="00545AF2" w:rsidRPr="00A5045C" w:rsidRDefault="00545AF2" w:rsidP="00545AF2">
            <w:pPr>
              <w:spacing w:before="0" w:beforeAutospacing="0" w:after="0" w:afterAutospacing="0"/>
              <w:jc w:val="both"/>
              <w:rPr>
                <w:rFonts w:cs="Arial"/>
                <w:szCs w:val="18"/>
              </w:rPr>
            </w:pPr>
            <w:r w:rsidRPr="00674A47">
              <w:rPr>
                <w:rFonts w:cs="Arial"/>
                <w:szCs w:val="18"/>
              </w:rPr>
              <w:t>d) intervient dans les meilleurs délais lorsqu’il constate un défaut d’application des procédures établies ou lorsque celles-ci se révèlent insuffisantes ou inadéquates pour assurer le niveau de protection souhaité contre le vol ou la perte.</w:t>
            </w:r>
          </w:p>
        </w:tc>
        <w:tc>
          <w:tcPr>
            <w:tcW w:w="1350" w:type="dxa"/>
            <w:gridSpan w:val="2"/>
            <w:vMerge/>
            <w:shd w:val="clear" w:color="auto" w:fill="FFC000"/>
            <w:vAlign w:val="center"/>
            <w:hideMark/>
          </w:tcPr>
          <w:p w14:paraId="4DD2EDAE"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FF502C1" w14:textId="77777777" w:rsidR="00545AF2" w:rsidRPr="00A5045C" w:rsidRDefault="00545AF2" w:rsidP="00545AF2">
            <w:pPr>
              <w:spacing w:before="0" w:beforeAutospacing="0" w:after="0" w:afterAutospacing="0"/>
              <w:rPr>
                <w:rFonts w:cs="Arial"/>
                <w:szCs w:val="18"/>
              </w:rPr>
            </w:pPr>
          </w:p>
        </w:tc>
      </w:tr>
      <w:tr w:rsidR="00545AF2" w:rsidRPr="00A826E0" w14:paraId="7A1F5A5C"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214324E3" w14:textId="3563128D" w:rsidR="00545AF2" w:rsidRPr="00A826E0" w:rsidRDefault="00545AF2" w:rsidP="00545AF2">
            <w:pPr>
              <w:spacing w:before="0" w:beforeAutospacing="0" w:after="0" w:afterAutospacing="0"/>
              <w:jc w:val="both"/>
              <w:rPr>
                <w:rFonts w:cs="Arial"/>
                <w:b/>
                <w:sz w:val="20"/>
                <w:szCs w:val="18"/>
              </w:rPr>
            </w:pPr>
            <w:r>
              <w:rPr>
                <w:rFonts w:cs="Arial"/>
                <w:b/>
                <w:sz w:val="20"/>
                <w:szCs w:val="18"/>
              </w:rPr>
              <w:t>7</w:t>
            </w:r>
            <w:r w:rsidRPr="00A826E0">
              <w:rPr>
                <w:rFonts w:cs="Arial"/>
                <w:b/>
                <w:sz w:val="20"/>
                <w:szCs w:val="18"/>
              </w:rPr>
              <w:t>.</w:t>
            </w:r>
          </w:p>
        </w:tc>
        <w:tc>
          <w:tcPr>
            <w:tcW w:w="14106" w:type="dxa"/>
            <w:gridSpan w:val="6"/>
            <w:shd w:val="clear" w:color="auto" w:fill="B8CCE4" w:themeFill="accent1" w:themeFillTint="66"/>
            <w:noWrap/>
            <w:vAlign w:val="center"/>
            <w:hideMark/>
          </w:tcPr>
          <w:p w14:paraId="27EAE9FD"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Enrôlement des utilisateurs et sécurité des opérations sensibles</w:t>
            </w:r>
          </w:p>
        </w:tc>
      </w:tr>
      <w:tr w:rsidR="00545AF2" w:rsidRPr="001148E2" w14:paraId="29C36120"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1FDA7841" w14:textId="34CB8E94"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.1 </w:t>
            </w:r>
          </w:p>
        </w:tc>
        <w:tc>
          <w:tcPr>
            <w:tcW w:w="10211" w:type="dxa"/>
            <w:gridSpan w:val="2"/>
            <w:shd w:val="clear" w:color="000000" w:fill="DDEBF7"/>
            <w:noWrap/>
            <w:vAlign w:val="center"/>
            <w:hideMark/>
          </w:tcPr>
          <w:p w14:paraId="1B4420C5"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Toute opération considérée comme sensible (en particulier les opérations d’enrôlement de l’utilisateur, de commande, de délivrance et d’opération de paiement) doit être protégée par un mécanisme d’authentification renforcée.</w:t>
            </w:r>
          </w:p>
        </w:tc>
        <w:tc>
          <w:tcPr>
            <w:tcW w:w="1350" w:type="dxa"/>
            <w:gridSpan w:val="2"/>
            <w:shd w:val="clear" w:color="000000" w:fill="DDEBF7"/>
            <w:vAlign w:val="center"/>
            <w:hideMark/>
          </w:tcPr>
          <w:p w14:paraId="1FA9E02A"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53096062"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002D6BE1"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vMerge w:val="restart"/>
            <w:shd w:val="clear" w:color="000000" w:fill="FFFFFF"/>
            <w:noWrap/>
            <w:vAlign w:val="center"/>
          </w:tcPr>
          <w:p w14:paraId="4771D414"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hideMark/>
          </w:tcPr>
          <w:p w14:paraId="74E1D9BB" w14:textId="00299810" w:rsidR="00B465EF" w:rsidRPr="00A5045C" w:rsidRDefault="00B465EF" w:rsidP="00B465EF">
            <w:pPr>
              <w:spacing w:before="0" w:beforeAutospacing="0" w:after="0" w:afterAutospacing="0"/>
              <w:jc w:val="both"/>
              <w:rPr>
                <w:rFonts w:cs="Arial"/>
                <w:szCs w:val="18"/>
              </w:rPr>
            </w:pPr>
            <w:r>
              <w:rPr>
                <w:rFonts w:cs="Arial"/>
                <w:szCs w:val="18"/>
              </w:rPr>
              <w:t xml:space="preserve">a) </w:t>
            </w:r>
            <w:r w:rsidRPr="00A5045C">
              <w:rPr>
                <w:rFonts w:cs="Arial"/>
                <w:szCs w:val="18"/>
              </w:rPr>
              <w:t xml:space="preserve">Dans le cadre des opérations sensibles, l’émetteur de </w:t>
            </w:r>
            <w:r>
              <w:rPr>
                <w:rFonts w:cs="Arial"/>
                <w:szCs w:val="18"/>
              </w:rPr>
              <w:t>TSPD/IPS</w:t>
            </w:r>
            <w:r w:rsidRPr="00A5045C">
              <w:rPr>
                <w:rFonts w:cs="Arial"/>
                <w:szCs w:val="18"/>
              </w:rPr>
              <w:t xml:space="preserve"> doit toujours s’assurer de l’identité de la personne qui effectue l’opération en utilisant un mécanisme d’authentification renforcée. Lors de l’enrôlement, pour valider les données utilisées, l’émetteur doit compléter la déclaration d’identité initiale par un mécanisme d’authentification renforcée. Il doit être indiqué au contrat qu’en cas d’échec de l’authentification renforcée, l’émetteur refuse l’exécution de l’opération.</w:t>
            </w:r>
          </w:p>
        </w:tc>
        <w:tc>
          <w:tcPr>
            <w:tcW w:w="1350" w:type="dxa"/>
            <w:gridSpan w:val="2"/>
            <w:vMerge w:val="restart"/>
            <w:shd w:val="clear" w:color="auto" w:fill="FFC000"/>
            <w:vAlign w:val="center"/>
            <w:hideMark/>
          </w:tcPr>
          <w:p w14:paraId="176ACC4E" w14:textId="1F8DF9A2"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72C7911" w14:textId="1CD6D053"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0D9860A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69903D0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D82086A" w14:textId="56BB5E8D"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doit s’assurer que les commerçants qui acceptent le paiement en </w:t>
            </w:r>
            <w:r>
              <w:rPr>
                <w:rFonts w:cs="Arial"/>
                <w:szCs w:val="18"/>
              </w:rPr>
              <w:t>TSPD/IPS</w:t>
            </w:r>
            <w:r w:rsidRPr="00A5045C">
              <w:rPr>
                <w:rFonts w:cs="Arial"/>
                <w:szCs w:val="18"/>
              </w:rPr>
              <w:t xml:space="preserve"> permettent de mettre en œuvre une authentification renforcée de leurs clients pour les opérations sensibles.</w:t>
            </w:r>
          </w:p>
        </w:tc>
        <w:tc>
          <w:tcPr>
            <w:tcW w:w="1350" w:type="dxa"/>
            <w:gridSpan w:val="2"/>
            <w:vMerge/>
            <w:shd w:val="clear" w:color="auto" w:fill="FFC000"/>
            <w:vAlign w:val="center"/>
            <w:hideMark/>
          </w:tcPr>
          <w:p w14:paraId="6089AEAF"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CFF6A29" w14:textId="77777777" w:rsidR="00545AF2" w:rsidRPr="00A5045C" w:rsidRDefault="00545AF2" w:rsidP="00545AF2">
            <w:pPr>
              <w:spacing w:before="0" w:beforeAutospacing="0" w:after="0" w:afterAutospacing="0"/>
              <w:rPr>
                <w:rFonts w:cs="Arial"/>
                <w:szCs w:val="18"/>
              </w:rPr>
            </w:pPr>
          </w:p>
        </w:tc>
      </w:tr>
      <w:tr w:rsidR="00545AF2" w:rsidRPr="001148E2" w14:paraId="22E55719"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29C13552"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74276347" w14:textId="6D271EAA"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L’émetteur de </w:t>
            </w:r>
            <w:r>
              <w:rPr>
                <w:rFonts w:cs="Arial"/>
                <w:szCs w:val="18"/>
              </w:rPr>
              <w:t>TSPD/IPS</w:t>
            </w:r>
            <w:r w:rsidRPr="00A5045C">
              <w:rPr>
                <w:rFonts w:cs="Arial"/>
                <w:szCs w:val="18"/>
              </w:rPr>
              <w:t xml:space="preserve"> doit régulièrement réévaluer la pertinence de sa solution d’authentification renforcée au regard des menaces potentielles ainsi que des attaques de fraude constatées. </w:t>
            </w:r>
          </w:p>
        </w:tc>
        <w:tc>
          <w:tcPr>
            <w:tcW w:w="1350" w:type="dxa"/>
            <w:gridSpan w:val="2"/>
            <w:vMerge/>
            <w:shd w:val="clear" w:color="auto" w:fill="FFC000"/>
            <w:vAlign w:val="center"/>
            <w:hideMark/>
          </w:tcPr>
          <w:p w14:paraId="2618887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638FA41" w14:textId="77777777" w:rsidR="00545AF2" w:rsidRPr="00A5045C" w:rsidRDefault="00545AF2" w:rsidP="00545AF2">
            <w:pPr>
              <w:spacing w:before="0" w:beforeAutospacing="0" w:after="0" w:afterAutospacing="0"/>
              <w:rPr>
                <w:rFonts w:cs="Arial"/>
                <w:szCs w:val="18"/>
              </w:rPr>
            </w:pPr>
          </w:p>
        </w:tc>
      </w:tr>
      <w:tr w:rsidR="00545AF2" w:rsidRPr="001148E2" w14:paraId="7C29D464"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534B187F"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02F7A5BE" w14:textId="10D04703" w:rsidR="00545AF2" w:rsidRPr="00A5045C" w:rsidRDefault="00545AF2" w:rsidP="00545AF2">
            <w:pPr>
              <w:spacing w:before="0" w:beforeAutospacing="0" w:after="0" w:afterAutospacing="0"/>
              <w:jc w:val="both"/>
              <w:rPr>
                <w:rFonts w:cs="Arial"/>
                <w:szCs w:val="18"/>
              </w:rPr>
            </w:pPr>
            <w:r>
              <w:rPr>
                <w:rFonts w:cs="Arial"/>
                <w:szCs w:val="18"/>
              </w:rPr>
              <w:t>d)</w:t>
            </w:r>
            <w:r w:rsidRPr="00A5045C">
              <w:rPr>
                <w:rFonts w:cs="Arial"/>
                <w:szCs w:val="18"/>
              </w:rPr>
              <w:t xml:space="preserve"> Dans le cas où l’émetteur n’impose pas d’authentification renforcée sur les opérations de paiement, celui-ci devra justifier son choix par une analyse des risques documentée. Cette analyse devra par exemple expliciter les mesures compensatoires mises en place par l’émetteur lui permettant de ne pas avoir recours à une authentification renforcée sur les opérations sensibles.</w:t>
            </w:r>
          </w:p>
        </w:tc>
        <w:tc>
          <w:tcPr>
            <w:tcW w:w="1350" w:type="dxa"/>
            <w:gridSpan w:val="2"/>
            <w:vMerge/>
            <w:shd w:val="clear" w:color="auto" w:fill="FFC000"/>
            <w:vAlign w:val="center"/>
            <w:hideMark/>
          </w:tcPr>
          <w:p w14:paraId="719E292F"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B9EF4FF" w14:textId="77777777" w:rsidR="00545AF2" w:rsidRPr="00A5045C" w:rsidRDefault="00545AF2" w:rsidP="00545AF2">
            <w:pPr>
              <w:spacing w:before="0" w:beforeAutospacing="0" w:after="0" w:afterAutospacing="0"/>
              <w:rPr>
                <w:rFonts w:cs="Arial"/>
                <w:szCs w:val="18"/>
              </w:rPr>
            </w:pPr>
          </w:p>
        </w:tc>
      </w:tr>
      <w:tr w:rsidR="00545AF2" w:rsidRPr="001148E2" w14:paraId="7DDF61F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6BC606E6"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27038816" w14:textId="2140FD42" w:rsidR="00545AF2" w:rsidRPr="00A5045C" w:rsidRDefault="00545AF2" w:rsidP="00545AF2">
            <w:pPr>
              <w:spacing w:before="0" w:beforeAutospacing="0" w:after="0" w:afterAutospacing="0"/>
              <w:jc w:val="both"/>
              <w:rPr>
                <w:rFonts w:cs="Arial"/>
                <w:szCs w:val="18"/>
              </w:rPr>
            </w:pPr>
            <w:r>
              <w:rPr>
                <w:rFonts w:cs="Arial"/>
                <w:szCs w:val="18"/>
              </w:rPr>
              <w:t>e)</w:t>
            </w:r>
            <w:r w:rsidRPr="00A5045C">
              <w:rPr>
                <w:rFonts w:cs="Arial"/>
                <w:szCs w:val="18"/>
              </w:rPr>
              <w:t xml:space="preserve"> Lorsqu’une opération de paiement n’est pas sécurisée par une authentification renforcée, l’émetteur de </w:t>
            </w:r>
            <w:r>
              <w:rPr>
                <w:rFonts w:cs="Arial"/>
                <w:szCs w:val="18"/>
              </w:rPr>
              <w:t>TSPD/IPS</w:t>
            </w:r>
            <w:r w:rsidRPr="00A5045C">
              <w:rPr>
                <w:rFonts w:cs="Arial"/>
                <w:szCs w:val="18"/>
              </w:rPr>
              <w:t xml:space="preserve"> doit veiller à maintenir un taux de fraude à minima équivalent à celui observé pour les paiements à authentification renforcée.  </w:t>
            </w:r>
          </w:p>
        </w:tc>
        <w:tc>
          <w:tcPr>
            <w:tcW w:w="1350" w:type="dxa"/>
            <w:gridSpan w:val="2"/>
            <w:vMerge/>
            <w:shd w:val="clear" w:color="auto" w:fill="FFC000"/>
            <w:vAlign w:val="center"/>
            <w:hideMark/>
          </w:tcPr>
          <w:p w14:paraId="4D888870"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9E6FF5E" w14:textId="77777777" w:rsidR="00545AF2" w:rsidRPr="00A5045C" w:rsidRDefault="00545AF2" w:rsidP="00545AF2">
            <w:pPr>
              <w:spacing w:before="0" w:beforeAutospacing="0" w:after="0" w:afterAutospacing="0"/>
              <w:rPr>
                <w:rFonts w:cs="Arial"/>
                <w:szCs w:val="18"/>
              </w:rPr>
            </w:pPr>
          </w:p>
        </w:tc>
      </w:tr>
      <w:tr w:rsidR="00545AF2" w:rsidRPr="001148E2" w14:paraId="3346524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646" w:type="dxa"/>
            <w:gridSpan w:val="2"/>
            <w:shd w:val="clear" w:color="000000" w:fill="DDEBF7"/>
            <w:noWrap/>
            <w:vAlign w:val="center"/>
            <w:hideMark/>
          </w:tcPr>
          <w:p w14:paraId="7DBEDA28" w14:textId="5540852C"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.2 </w:t>
            </w:r>
          </w:p>
        </w:tc>
        <w:tc>
          <w:tcPr>
            <w:tcW w:w="10211" w:type="dxa"/>
            <w:gridSpan w:val="2"/>
            <w:shd w:val="clear" w:color="000000" w:fill="DDEBF7"/>
            <w:noWrap/>
            <w:vAlign w:val="center"/>
            <w:hideMark/>
          </w:tcPr>
          <w:p w14:paraId="1DC43A07"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sécurise les environnements de commande de titres mis à la disposition des financeurs et sécurise le processus de délivrance des titres à ces derniers ou aux utilisateurs. En cas de compromission de l’environnement de commande du financeur, l’émetteur dispose d’une procédure de blocage des accès.</w:t>
            </w:r>
          </w:p>
        </w:tc>
        <w:tc>
          <w:tcPr>
            <w:tcW w:w="1350" w:type="dxa"/>
            <w:gridSpan w:val="2"/>
            <w:shd w:val="clear" w:color="000000" w:fill="DDEBF7"/>
            <w:vAlign w:val="center"/>
            <w:hideMark/>
          </w:tcPr>
          <w:p w14:paraId="0BF2DE03"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F3BC6C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039ABDD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val="restart"/>
            <w:shd w:val="clear" w:color="000000" w:fill="FFFFFF"/>
            <w:noWrap/>
            <w:vAlign w:val="center"/>
          </w:tcPr>
          <w:p w14:paraId="2BD05E38" w14:textId="77777777" w:rsidR="00B465EF" w:rsidRPr="00A5045C" w:rsidRDefault="00B465EF" w:rsidP="00B465EF">
            <w:pPr>
              <w:jc w:val="center"/>
              <w:rPr>
                <w:rFonts w:cs="Arial"/>
                <w:szCs w:val="18"/>
              </w:rPr>
            </w:pPr>
          </w:p>
        </w:tc>
        <w:tc>
          <w:tcPr>
            <w:tcW w:w="10211" w:type="dxa"/>
            <w:gridSpan w:val="2"/>
            <w:shd w:val="clear" w:color="000000" w:fill="FFFFFF"/>
            <w:noWrap/>
            <w:vAlign w:val="center"/>
            <w:hideMark/>
          </w:tcPr>
          <w:p w14:paraId="73BB42B0" w14:textId="2741CBAB" w:rsidR="00B465EF" w:rsidRPr="00A5045C" w:rsidRDefault="00B465EF" w:rsidP="00B465EF">
            <w:pPr>
              <w:spacing w:before="0" w:beforeAutospacing="0" w:after="0" w:afterAutospacing="0"/>
              <w:jc w:val="both"/>
              <w:rPr>
                <w:rFonts w:cs="Arial"/>
                <w:szCs w:val="18"/>
              </w:rPr>
            </w:pPr>
            <w:r>
              <w:rPr>
                <w:rFonts w:cs="Arial"/>
                <w:szCs w:val="18"/>
              </w:rPr>
              <w:t>a)</w:t>
            </w:r>
            <w:r w:rsidRPr="00A5045C">
              <w:rPr>
                <w:rFonts w:cs="Arial"/>
                <w:szCs w:val="18"/>
              </w:rPr>
              <w:t xml:space="preserve"> Le processus de commande de </w:t>
            </w:r>
            <w:r>
              <w:rPr>
                <w:rFonts w:cs="Arial"/>
                <w:szCs w:val="18"/>
              </w:rPr>
              <w:t>TSPD/IPS</w:t>
            </w:r>
            <w:r w:rsidRPr="00A5045C">
              <w:rPr>
                <w:rFonts w:cs="Arial"/>
                <w:szCs w:val="18"/>
              </w:rPr>
              <w:t xml:space="preserve"> doit être sécurisé par une authentification renforcée permettant de s’assurer que la personne est bien habilitée par le financeur pour effectuer cette opération. En cas de compromission, l’émetteur de </w:t>
            </w:r>
            <w:r>
              <w:rPr>
                <w:rFonts w:cs="Arial"/>
                <w:szCs w:val="18"/>
              </w:rPr>
              <w:t>TSPD/IPS</w:t>
            </w:r>
            <w:r w:rsidRPr="00A5045C">
              <w:rPr>
                <w:rFonts w:cs="Arial"/>
                <w:szCs w:val="18"/>
              </w:rPr>
              <w:t xml:space="preserve"> doit être en mesure de bloquer le ou les compte(s) habilité(s) à passer des commandes de </w:t>
            </w:r>
            <w:r>
              <w:rPr>
                <w:rFonts w:cs="Arial"/>
                <w:szCs w:val="18"/>
              </w:rPr>
              <w:t>TSPD/IPS</w:t>
            </w:r>
            <w:r w:rsidRPr="00A5045C">
              <w:rPr>
                <w:rFonts w:cs="Arial"/>
                <w:szCs w:val="18"/>
              </w:rPr>
              <w:t>.</w:t>
            </w:r>
          </w:p>
        </w:tc>
        <w:tc>
          <w:tcPr>
            <w:tcW w:w="1350" w:type="dxa"/>
            <w:gridSpan w:val="2"/>
            <w:vMerge w:val="restart"/>
            <w:shd w:val="clear" w:color="auto" w:fill="FFC000"/>
            <w:vAlign w:val="center"/>
            <w:hideMark/>
          </w:tcPr>
          <w:p w14:paraId="71FA4A8D" w14:textId="5EC01BA8"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2A0B03BA" w14:textId="0E83B393"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209316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62713DE3"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2D601F6F" w14:textId="222F1B11"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Le processus de mise à disposition des </w:t>
            </w:r>
            <w:r>
              <w:rPr>
                <w:rFonts w:cs="Arial"/>
                <w:szCs w:val="18"/>
              </w:rPr>
              <w:t>TSPD/IPS</w:t>
            </w:r>
            <w:r w:rsidRPr="00A5045C">
              <w:rPr>
                <w:rFonts w:cs="Arial"/>
                <w:szCs w:val="18"/>
              </w:rPr>
              <w:t xml:space="preserve"> pour l’utilisateur doit faire l’objet d’une procédure formalisée. En cas de remise des </w:t>
            </w:r>
            <w:r>
              <w:rPr>
                <w:rFonts w:cs="Arial"/>
                <w:szCs w:val="18"/>
              </w:rPr>
              <w:t>TSPD/IPS</w:t>
            </w:r>
            <w:r w:rsidRPr="00A5045C">
              <w:rPr>
                <w:rFonts w:cs="Arial"/>
                <w:szCs w:val="18"/>
              </w:rPr>
              <w:t xml:space="preserve"> à un organisme tiers (financeur, comité d’entreprise, etc.), l’émetteur et l’organisme doivent avoir formalisé un accord précisant les conditions de conservation, de gestion et de distribution des </w:t>
            </w:r>
            <w:r>
              <w:rPr>
                <w:rFonts w:cs="Arial"/>
                <w:szCs w:val="18"/>
              </w:rPr>
              <w:t>TSPD/IPS</w:t>
            </w:r>
            <w:r w:rsidRPr="00A5045C">
              <w:rPr>
                <w:rFonts w:cs="Arial"/>
                <w:szCs w:val="18"/>
              </w:rPr>
              <w:t>.</w:t>
            </w:r>
          </w:p>
        </w:tc>
        <w:tc>
          <w:tcPr>
            <w:tcW w:w="1350" w:type="dxa"/>
            <w:gridSpan w:val="2"/>
            <w:vMerge/>
            <w:shd w:val="clear" w:color="auto" w:fill="FFC000"/>
            <w:vAlign w:val="center"/>
            <w:hideMark/>
          </w:tcPr>
          <w:p w14:paraId="5BA2A35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9620FEA" w14:textId="77777777" w:rsidR="00545AF2" w:rsidRPr="00A5045C" w:rsidRDefault="00545AF2" w:rsidP="00545AF2">
            <w:pPr>
              <w:spacing w:before="0" w:beforeAutospacing="0" w:after="0" w:afterAutospacing="0"/>
              <w:rPr>
                <w:rFonts w:cs="Arial"/>
                <w:szCs w:val="18"/>
              </w:rPr>
            </w:pPr>
          </w:p>
        </w:tc>
      </w:tr>
      <w:tr w:rsidR="00545AF2" w:rsidRPr="001148E2" w14:paraId="1E903762"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646" w:type="dxa"/>
            <w:gridSpan w:val="2"/>
            <w:shd w:val="clear" w:color="000000" w:fill="DDEBF7"/>
            <w:noWrap/>
            <w:vAlign w:val="center"/>
            <w:hideMark/>
          </w:tcPr>
          <w:p w14:paraId="05B98C33" w14:textId="042E1AA5"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.3 </w:t>
            </w:r>
          </w:p>
        </w:tc>
        <w:tc>
          <w:tcPr>
            <w:tcW w:w="10211" w:type="dxa"/>
            <w:gridSpan w:val="2"/>
            <w:shd w:val="clear" w:color="000000" w:fill="DDEBF7"/>
            <w:noWrap/>
            <w:vAlign w:val="center"/>
            <w:hideMark/>
          </w:tcPr>
          <w:p w14:paraId="3A442817"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limiter le nombre de tentatives de connexion et définir des règles de fin de session lorsque l’employeur ou l’utilisateur est connecté à son environnement de gestion.  Lorsque le nombre maximum de tentatives de connexion est atteint, le compte de l’utilisateur doit être bloqué et une procédure doit être formalisée définissant les règles et conditions de déblocage du compte de l’utilisateur.</w:t>
            </w:r>
          </w:p>
        </w:tc>
        <w:tc>
          <w:tcPr>
            <w:tcW w:w="1350" w:type="dxa"/>
            <w:gridSpan w:val="2"/>
            <w:shd w:val="clear" w:color="000000" w:fill="DDEBF7"/>
            <w:vAlign w:val="center"/>
            <w:hideMark/>
          </w:tcPr>
          <w:p w14:paraId="63C2D09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3C95A0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0769733"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1DA966D9"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06DB47CF"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 L’émetteur a défini et mis en œuvre un ensemble de règles d'habilitation aux environnements d’émission et de gestion des </w:t>
            </w:r>
            <w:r>
              <w:rPr>
                <w:rFonts w:cs="Arial"/>
                <w:szCs w:val="18"/>
              </w:rPr>
              <w:t>TSPD/IPS</w:t>
            </w:r>
            <w:r w:rsidRPr="00A5045C">
              <w:rPr>
                <w:rFonts w:cs="Arial"/>
                <w:szCs w:val="18"/>
              </w:rPr>
              <w:t>, qui régit les conditions et limitations d'accès aux services (durée maximale des sessions, nombre de tentatives de connexion, modalités de blocage/déblocage des comptes,...).</w:t>
            </w:r>
          </w:p>
        </w:tc>
        <w:tc>
          <w:tcPr>
            <w:tcW w:w="1350" w:type="dxa"/>
            <w:gridSpan w:val="2"/>
            <w:shd w:val="clear" w:color="auto" w:fill="FFC000"/>
            <w:vAlign w:val="center"/>
            <w:hideMark/>
          </w:tcPr>
          <w:p w14:paraId="255E93C9" w14:textId="3DFE4FB3"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385859B7" w14:textId="36DF86DB" w:rsidR="00B465EF" w:rsidRPr="00A5045C" w:rsidRDefault="00B465EF" w:rsidP="00B465EF">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2AFD9811"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50935193" w14:textId="77C0D9A5"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.4 </w:t>
            </w:r>
          </w:p>
        </w:tc>
        <w:tc>
          <w:tcPr>
            <w:tcW w:w="10211" w:type="dxa"/>
            <w:gridSpan w:val="2"/>
            <w:shd w:val="clear" w:color="000000" w:fill="DDEBF7"/>
            <w:noWrap/>
            <w:vAlign w:val="center"/>
            <w:hideMark/>
          </w:tcPr>
          <w:p w14:paraId="3EAD4A45"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L’enrôlement et l’équipement du bénéficiaire en dispositif de paiement doivent être sécurisés et faire l’objet d’une procédure formalisée.</w:t>
            </w:r>
          </w:p>
        </w:tc>
        <w:tc>
          <w:tcPr>
            <w:tcW w:w="1350" w:type="dxa"/>
            <w:gridSpan w:val="2"/>
            <w:shd w:val="clear" w:color="000000" w:fill="DDEBF7"/>
            <w:vAlign w:val="center"/>
            <w:hideMark/>
          </w:tcPr>
          <w:p w14:paraId="1907190D"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058D55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D5FB622"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shd w:val="clear" w:color="000000" w:fill="FFFFFF"/>
            <w:noWrap/>
            <w:vAlign w:val="center"/>
            <w:hideMark/>
          </w:tcPr>
          <w:p w14:paraId="5DBF8AC2"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183B125D"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a défini et formalisé les conditions d’enrôlement et d’équipement des utilisateurs. Il veille à un niveau de sécurisation adéquat de ces deux processus permettant de s’assurer de la délivrance des </w:t>
            </w:r>
            <w:r>
              <w:rPr>
                <w:rFonts w:cs="Arial"/>
                <w:szCs w:val="18"/>
              </w:rPr>
              <w:t>TSPD/IPS</w:t>
            </w:r>
            <w:r w:rsidRPr="00A5045C">
              <w:rPr>
                <w:rFonts w:cs="Arial"/>
                <w:szCs w:val="18"/>
              </w:rPr>
              <w:t xml:space="preserve"> à l’utilisateur final pour ce qui concerne l’enrôlement,  et de la sécurisation du consentement à l’opération de paiement pour ce qui concerne l’équipement.</w:t>
            </w:r>
          </w:p>
        </w:tc>
        <w:tc>
          <w:tcPr>
            <w:tcW w:w="1350" w:type="dxa"/>
            <w:gridSpan w:val="2"/>
            <w:shd w:val="clear" w:color="auto" w:fill="FFC000"/>
            <w:vAlign w:val="center"/>
            <w:hideMark/>
          </w:tcPr>
          <w:p w14:paraId="2D3C441E" w14:textId="28C96159"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7C0DED90" w14:textId="16F0EB21"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A826E0" w14:paraId="543B9A47"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BDB03E8" w14:textId="3C6A8780" w:rsidR="00545AF2" w:rsidRPr="00A826E0" w:rsidRDefault="00545AF2" w:rsidP="00545AF2">
            <w:pPr>
              <w:spacing w:before="0" w:beforeAutospacing="0" w:after="0" w:afterAutospacing="0"/>
              <w:jc w:val="center"/>
              <w:rPr>
                <w:rFonts w:cs="Arial"/>
                <w:b/>
                <w:sz w:val="20"/>
                <w:szCs w:val="18"/>
              </w:rPr>
            </w:pPr>
            <w:r>
              <w:rPr>
                <w:rFonts w:cs="Arial"/>
                <w:b/>
                <w:sz w:val="20"/>
                <w:szCs w:val="18"/>
              </w:rPr>
              <w:t>8</w:t>
            </w:r>
            <w:r w:rsidRPr="00A826E0">
              <w:rPr>
                <w:rFonts w:cs="Arial"/>
                <w:b/>
                <w:sz w:val="20"/>
                <w:szCs w:val="18"/>
              </w:rPr>
              <w:t>.</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C318EAF"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 xml:space="preserve">Sécurité de la transmission des supports de </w:t>
            </w:r>
            <w:r>
              <w:rPr>
                <w:rFonts w:cs="Arial"/>
                <w:b/>
                <w:sz w:val="20"/>
                <w:szCs w:val="18"/>
              </w:rPr>
              <w:t>TSPD/IPS</w:t>
            </w:r>
          </w:p>
        </w:tc>
      </w:tr>
      <w:tr w:rsidR="00545AF2" w:rsidRPr="001148E2" w14:paraId="186298C8"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D9A734F" w14:textId="5DDD1D61"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946452F"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a analysé ses risques de perte ou de vol des supports. Cette analyse couvre l’ensemble des transports à réaliser pour l’acheminement jusqu’à l’utilisateur final et prend donc en compte l’environnement du financeur.</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7D911B7"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D8953D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7CC2591E" w14:textId="77777777" w:rsidTr="003C1F1E">
        <w:trPr>
          <w:trHeight w:val="912"/>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BE855"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CB6C8"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analyser les risques liés à l’acheminement des supports des </w:t>
            </w:r>
            <w:r>
              <w:rPr>
                <w:rFonts w:cs="Arial"/>
                <w:szCs w:val="18"/>
              </w:rPr>
              <w:t>TSPD/IPS</w:t>
            </w:r>
            <w:r w:rsidRPr="00A5045C">
              <w:rPr>
                <w:rFonts w:cs="Arial"/>
                <w:szCs w:val="18"/>
              </w:rPr>
              <w:t xml:space="preserve"> en prenant en compte la chaine complète, notamment l’environnement du financeur dans le cas où une partie de l’acheminement jusqu’à l’utilisateur est assuré par un organisme tiers qui lui est rattaché (services comptables du financeur, comité d’entreprise, etc…)</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ADCEF73" w14:textId="59498E49"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8DACB9E" w14:textId="574C3A14"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1D8CB8D" w14:textId="77777777" w:rsidTr="00733123">
        <w:trPr>
          <w:trHeight w:val="120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E1C351" w14:textId="06BCF0F4"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E0ED829"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dispose de procédures d’acheminement appropriées qui permettent de répondre aux besoins de sécurité identifiés par l’analyse. Ces procédures mettent notamment en œuvre des moyens de protection, de détection d’incident et d’alerte qui répondent à la sensibilité des actifs acheminés et des risques pour l’émetteur et les autres acteurs du système si ces supports venaient à être volés ou perdus. </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A877FA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B38EC94"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5B60AA96" w14:textId="77777777" w:rsidTr="003C1F1E">
        <w:trPr>
          <w:trHeight w:val="456"/>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45059546"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C68FD" w14:textId="19746489" w:rsidR="00B465EF" w:rsidRPr="00A5045C" w:rsidRDefault="00B465EF" w:rsidP="00B465EF">
            <w:pPr>
              <w:spacing w:before="0" w:beforeAutospacing="0" w:after="0" w:afterAutospacing="0"/>
              <w:jc w:val="both"/>
              <w:rPr>
                <w:rFonts w:cs="Arial"/>
                <w:szCs w:val="18"/>
              </w:rPr>
            </w:pPr>
            <w:r>
              <w:rPr>
                <w:rFonts w:cs="Arial"/>
                <w:szCs w:val="18"/>
              </w:rPr>
              <w:t>a)</w:t>
            </w:r>
            <w:r w:rsidRPr="00A5045C">
              <w:rPr>
                <w:rFonts w:cs="Arial"/>
                <w:szCs w:val="18"/>
              </w:rPr>
              <w:t xml:space="preserve"> L’émetteur doit mettre en place des mesures de protection visant à sécuriser l’acheminement des supports des </w:t>
            </w:r>
            <w:r>
              <w:rPr>
                <w:rFonts w:cs="Arial"/>
                <w:szCs w:val="18"/>
              </w:rPr>
              <w:t>TSPD/IPS</w:t>
            </w:r>
            <w:r w:rsidRPr="00A5045C">
              <w:rPr>
                <w:rFonts w:cs="Arial"/>
                <w:szCs w:val="18"/>
              </w:rPr>
              <w:t xml:space="preserve"> vers les utilisateurs.</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2945B1E" w14:textId="1CE5B3D8"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0788A5B" w14:textId="6250E8AD" w:rsidR="00B465EF" w:rsidRPr="00A5045C" w:rsidRDefault="00B465EF" w:rsidP="00B465EF">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75C594B5" w14:textId="77777777" w:rsidTr="003C1F1E">
        <w:trPr>
          <w:trHeight w:val="456"/>
        </w:trPr>
        <w:tc>
          <w:tcPr>
            <w:tcW w:w="646" w:type="dxa"/>
            <w:gridSpan w:val="2"/>
            <w:vMerge/>
            <w:tcBorders>
              <w:left w:val="single" w:sz="4" w:space="0" w:color="auto"/>
              <w:right w:val="single" w:sz="4" w:space="0" w:color="auto"/>
            </w:tcBorders>
            <w:shd w:val="clear" w:color="000000" w:fill="FFFFFF"/>
            <w:noWrap/>
            <w:vAlign w:val="center"/>
            <w:hideMark/>
          </w:tcPr>
          <w:p w14:paraId="267D1B21"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68447" w14:textId="21418F79"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assure un suivi des supports des titres délivrés pour détecter les incidents lors de l’acheminement.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B8D4F9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734203E" w14:textId="77777777" w:rsidR="00545AF2" w:rsidRPr="00A5045C" w:rsidRDefault="00545AF2" w:rsidP="00545AF2">
            <w:pPr>
              <w:spacing w:before="0" w:beforeAutospacing="0" w:after="0" w:afterAutospacing="0"/>
              <w:rPr>
                <w:rFonts w:cs="Arial"/>
                <w:szCs w:val="18"/>
              </w:rPr>
            </w:pPr>
          </w:p>
        </w:tc>
      </w:tr>
      <w:tr w:rsidR="00545AF2" w:rsidRPr="001148E2" w14:paraId="5E677303" w14:textId="77777777" w:rsidTr="003C1F1E">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37E6C7B6"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85095" w14:textId="6B29D52B"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La délivrance du code utilisateur personnel permettant de confirmer une opération de paiement par </w:t>
            </w:r>
            <w:r>
              <w:rPr>
                <w:rFonts w:cs="Arial"/>
                <w:szCs w:val="18"/>
              </w:rPr>
              <w:t>TSPD/IPS</w:t>
            </w:r>
            <w:r w:rsidRPr="00A5045C">
              <w:rPr>
                <w:rFonts w:cs="Arial"/>
                <w:szCs w:val="18"/>
              </w:rPr>
              <w:t xml:space="preserve"> est réalisée distinctement de la délivrance du support physique de paiement.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788383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FE0CEBA" w14:textId="77777777" w:rsidR="00545AF2" w:rsidRPr="00A5045C" w:rsidRDefault="00545AF2" w:rsidP="00545AF2">
            <w:pPr>
              <w:spacing w:before="0" w:beforeAutospacing="0" w:after="0" w:afterAutospacing="0"/>
              <w:rPr>
                <w:rFonts w:cs="Arial"/>
                <w:szCs w:val="18"/>
              </w:rPr>
            </w:pPr>
          </w:p>
        </w:tc>
      </w:tr>
      <w:tr w:rsidR="00545AF2" w:rsidRPr="001148E2" w14:paraId="4385C7AC"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1B411D5" w14:textId="3EE3C603"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.3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41CE6C1"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effectue, au titre du contrôle interne, un suivi régulier de l’adéquation et de la bonne application de ses procédures de transmission des supports de </w:t>
            </w:r>
            <w:r>
              <w:rPr>
                <w:rFonts w:cs="Arial"/>
                <w:b/>
                <w:bCs/>
                <w:szCs w:val="18"/>
              </w:rPr>
              <w:t>TSPD/IPS</w:t>
            </w:r>
            <w:r w:rsidRPr="00A5045C">
              <w:rPr>
                <w:rFonts w:cs="Arial"/>
                <w:b/>
                <w:bCs/>
                <w:szCs w:val="18"/>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53CD53CD"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0714C993" w14:textId="77777777" w:rsidR="00545AF2" w:rsidRPr="00A5045C" w:rsidRDefault="00545AF2" w:rsidP="00545AF2">
            <w:pPr>
              <w:spacing w:before="0" w:beforeAutospacing="0" w:after="0" w:afterAutospacing="0"/>
              <w:jc w:val="center"/>
              <w:rPr>
                <w:rFonts w:cs="Arial"/>
                <w:szCs w:val="18"/>
              </w:rPr>
            </w:pPr>
          </w:p>
        </w:tc>
      </w:tr>
      <w:tr w:rsidR="00B465EF" w:rsidRPr="001148E2" w14:paraId="7CDA4C55" w14:textId="77777777" w:rsidTr="003C1F1E">
        <w:trPr>
          <w:trHeight w:val="684"/>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E49DEF5"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B5629" w14:textId="43303070" w:rsidR="00B465EF" w:rsidRPr="00A5045C" w:rsidRDefault="00B465EF" w:rsidP="00B465EF">
            <w:pPr>
              <w:spacing w:before="0" w:beforeAutospacing="0" w:after="0" w:afterAutospacing="0"/>
              <w:jc w:val="both"/>
              <w:rPr>
                <w:rFonts w:cs="Arial"/>
                <w:szCs w:val="18"/>
              </w:rPr>
            </w:pPr>
            <w:r>
              <w:rPr>
                <w:rFonts w:cs="Arial"/>
                <w:szCs w:val="18"/>
              </w:rPr>
              <w:t>a)</w:t>
            </w:r>
            <w:r w:rsidRPr="00A5045C">
              <w:rPr>
                <w:rFonts w:cs="Arial"/>
                <w:szCs w:val="18"/>
              </w:rPr>
              <w:t xml:space="preserve"> Les procédures de gestion relatives à l’émission et à la gestion des </w:t>
            </w:r>
            <w:r>
              <w:rPr>
                <w:rFonts w:cs="Arial"/>
                <w:szCs w:val="18"/>
              </w:rPr>
              <w:t>TSPD/IPS</w:t>
            </w:r>
            <w:r w:rsidRPr="00A5045C">
              <w:rPr>
                <w:rFonts w:cs="Arial"/>
                <w:szCs w:val="18"/>
              </w:rPr>
              <w:t xml:space="preserve"> doivent être actualisées régulièrement en fonction des évolutions relatives à la politique de sécurité, aux processus opérationnels et aux systèmes d'information. Un dispositif de contrôle permanent s’assure de leur correcte application.</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2F255829" w14:textId="07630336"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6B3DAB6" w14:textId="1E1FA1B0"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7E86770A" w14:textId="77777777" w:rsidTr="003C1F1E">
        <w:trPr>
          <w:trHeight w:val="684"/>
        </w:trPr>
        <w:tc>
          <w:tcPr>
            <w:tcW w:w="646" w:type="dxa"/>
            <w:gridSpan w:val="2"/>
            <w:vMerge/>
            <w:tcBorders>
              <w:left w:val="single" w:sz="4" w:space="0" w:color="auto"/>
              <w:right w:val="single" w:sz="4" w:space="0" w:color="auto"/>
            </w:tcBorders>
            <w:shd w:val="clear" w:color="000000" w:fill="FFFFFF"/>
            <w:noWrap/>
            <w:vAlign w:val="center"/>
            <w:hideMark/>
          </w:tcPr>
          <w:p w14:paraId="5DAF5F60"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AC184" w14:textId="2ABF203D"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intervient dans les meilleurs délais lorsqu’il constate un défaut d’application des procédures ou lorsque celles-ci se révèlent insuffisantes ou inadéquates pour assurer le niveau de protection souhaité contre le vol ou la perte des supports de </w:t>
            </w:r>
            <w:r>
              <w:rPr>
                <w:rFonts w:cs="Arial"/>
                <w:szCs w:val="18"/>
              </w:rPr>
              <w:t>TSPD/IPS</w:t>
            </w:r>
            <w:r w:rsidRPr="00A5045C">
              <w:rPr>
                <w:rFonts w:cs="Arial"/>
                <w:szCs w:val="18"/>
              </w:rPr>
              <w: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80E9E0C"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3D21BF0" w14:textId="77777777" w:rsidR="00545AF2" w:rsidRPr="00A5045C" w:rsidRDefault="00545AF2" w:rsidP="00545AF2">
            <w:pPr>
              <w:spacing w:before="0" w:beforeAutospacing="0" w:after="0" w:afterAutospacing="0"/>
              <w:rPr>
                <w:rFonts w:cs="Arial"/>
                <w:szCs w:val="18"/>
              </w:rPr>
            </w:pPr>
          </w:p>
        </w:tc>
      </w:tr>
      <w:tr w:rsidR="00545AF2" w:rsidRPr="001148E2" w14:paraId="3A16599B" w14:textId="77777777" w:rsidTr="003C1F1E">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0791A4F6"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21B40" w14:textId="01449F0D"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L’émetteur de </w:t>
            </w:r>
            <w:r>
              <w:rPr>
                <w:rFonts w:cs="Arial"/>
                <w:szCs w:val="18"/>
              </w:rPr>
              <w:t>TSPD/IPS</w:t>
            </w:r>
            <w:r w:rsidRPr="00A5045C">
              <w:rPr>
                <w:rFonts w:cs="Arial"/>
                <w:szCs w:val="18"/>
              </w:rPr>
              <w:t xml:space="preserve"> s’assure que les mesures de protection mises en place pour protéger l’acheminement des </w:t>
            </w:r>
            <w:r>
              <w:rPr>
                <w:rFonts w:cs="Arial"/>
                <w:szCs w:val="18"/>
              </w:rPr>
              <w:t>TSPD/IPS</w:t>
            </w:r>
            <w:r w:rsidRPr="00A5045C">
              <w:rPr>
                <w:rFonts w:cs="Arial"/>
                <w:szCs w:val="18"/>
              </w:rPr>
              <w:t xml:space="preserve"> restent cohérentes avec les vulnérabilités et menaces identifiées.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98C54B2"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79A009E" w14:textId="77777777" w:rsidR="00545AF2" w:rsidRPr="00A5045C" w:rsidRDefault="00545AF2" w:rsidP="00545AF2">
            <w:pPr>
              <w:spacing w:before="0" w:beforeAutospacing="0" w:after="0" w:afterAutospacing="0"/>
              <w:rPr>
                <w:rFonts w:cs="Arial"/>
                <w:szCs w:val="18"/>
              </w:rPr>
            </w:pPr>
          </w:p>
        </w:tc>
      </w:tr>
      <w:tr w:rsidR="00545AF2" w:rsidRPr="001148E2" w14:paraId="5CB8CA74"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786F98" w14:textId="409675DD"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.4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55DDD5B"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L’accès du personnel aux locaux de stockage des supports est enregistré. Les enregistrements comportent l’identification des personnes ayant eu accès à ces locaux et ont pour vocation d’identifier l’origine d’un incident ayant eu le cas échéant un impact sur la sécurité.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D01BC4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6A1EAC8"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850ED1E" w14:textId="77777777" w:rsidTr="003C1F1E">
        <w:trPr>
          <w:trHeight w:val="82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383BAF24" w14:textId="77777777" w:rsidR="00B465EF" w:rsidRPr="00A5045C" w:rsidRDefault="00B465EF" w:rsidP="00B465EF">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ABA3D" w14:textId="67346558" w:rsidR="00B465EF" w:rsidRPr="00A5045C" w:rsidRDefault="00B465EF" w:rsidP="00B465EF">
            <w:pPr>
              <w:spacing w:before="0" w:beforeAutospacing="0" w:after="0" w:afterAutospacing="0"/>
              <w:jc w:val="both"/>
              <w:rPr>
                <w:rFonts w:cs="Arial"/>
                <w:szCs w:val="18"/>
              </w:rPr>
            </w:pPr>
            <w:r>
              <w:rPr>
                <w:rFonts w:cs="Arial"/>
                <w:szCs w:val="18"/>
              </w:rPr>
              <w:t>a)</w:t>
            </w:r>
            <w:r w:rsidRPr="00A5045C">
              <w:rPr>
                <w:rFonts w:cs="Arial"/>
                <w:szCs w:val="18"/>
              </w:rPr>
              <w:t xml:space="preserve"> L’Émetteur s’assure que les sites de stockage des équipements sont munis de contrôles d’accès.</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A879EE8" w14:textId="2FEDED41"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FE827EF" w14:textId="0991A7EC"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5AE691A" w14:textId="77777777" w:rsidTr="003C1F1E">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13A563F4"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84921" w14:textId="6020BFE7"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Les données enregistrées lors des accès physiques aux locaux de stockage permettent d'identifier les personnes concernées.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21A476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53176FC" w14:textId="77777777" w:rsidR="00545AF2" w:rsidRPr="00A5045C" w:rsidRDefault="00545AF2" w:rsidP="00545AF2">
            <w:pPr>
              <w:spacing w:before="0" w:beforeAutospacing="0" w:after="0" w:afterAutospacing="0"/>
              <w:rPr>
                <w:rFonts w:cs="Arial"/>
                <w:szCs w:val="18"/>
              </w:rPr>
            </w:pPr>
          </w:p>
        </w:tc>
      </w:tr>
      <w:tr w:rsidR="00545AF2" w:rsidRPr="00A826E0" w14:paraId="34D78B0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4F02F631" w14:textId="636EE013" w:rsidR="00545AF2" w:rsidRPr="00A826E0" w:rsidRDefault="00545AF2" w:rsidP="00545AF2">
            <w:pPr>
              <w:spacing w:before="0" w:beforeAutospacing="0" w:after="0" w:afterAutospacing="0"/>
              <w:jc w:val="center"/>
              <w:rPr>
                <w:rFonts w:cs="Arial"/>
                <w:b/>
                <w:sz w:val="20"/>
                <w:szCs w:val="18"/>
              </w:rPr>
            </w:pPr>
            <w:r>
              <w:rPr>
                <w:rFonts w:cs="Arial"/>
                <w:b/>
                <w:sz w:val="20"/>
                <w:szCs w:val="18"/>
              </w:rPr>
              <w:t>9</w:t>
            </w:r>
            <w:r w:rsidRPr="00A826E0">
              <w:rPr>
                <w:rFonts w:cs="Arial"/>
                <w:b/>
                <w:sz w:val="20"/>
                <w:szCs w:val="18"/>
              </w:rPr>
              <w:t>.</w:t>
            </w:r>
          </w:p>
        </w:tc>
        <w:tc>
          <w:tcPr>
            <w:tcW w:w="14106" w:type="dxa"/>
            <w:gridSpan w:val="6"/>
            <w:shd w:val="clear" w:color="auto" w:fill="B8CCE4" w:themeFill="accent1" w:themeFillTint="66"/>
            <w:noWrap/>
            <w:vAlign w:val="center"/>
            <w:hideMark/>
          </w:tcPr>
          <w:p w14:paraId="3FAB9748"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Dispositif de surveillance des opérations</w:t>
            </w:r>
          </w:p>
        </w:tc>
      </w:tr>
      <w:tr w:rsidR="00545AF2" w:rsidRPr="001148E2" w14:paraId="22C1EA8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4BFE997D" w14:textId="2F972CF8" w:rsidR="00545AF2" w:rsidRPr="00A5045C" w:rsidRDefault="00545AF2" w:rsidP="00545AF2">
            <w:pPr>
              <w:spacing w:before="0" w:beforeAutospacing="0" w:after="0" w:afterAutospacing="0"/>
              <w:jc w:val="center"/>
              <w:rPr>
                <w:rFonts w:cs="Arial"/>
                <w:b/>
                <w:bCs/>
                <w:szCs w:val="18"/>
              </w:rPr>
            </w:pPr>
            <w:r>
              <w:rPr>
                <w:rFonts w:cs="Arial"/>
                <w:b/>
                <w:bCs/>
                <w:szCs w:val="18"/>
              </w:rPr>
              <w:t>9</w:t>
            </w:r>
            <w:r w:rsidRPr="00A5045C">
              <w:rPr>
                <w:rFonts w:cs="Arial"/>
                <w:b/>
                <w:bCs/>
                <w:szCs w:val="18"/>
              </w:rPr>
              <w:t xml:space="preserve">.1 </w:t>
            </w:r>
          </w:p>
        </w:tc>
        <w:tc>
          <w:tcPr>
            <w:tcW w:w="10211" w:type="dxa"/>
            <w:gridSpan w:val="2"/>
            <w:shd w:val="clear" w:color="000000" w:fill="DDEBF7"/>
            <w:noWrap/>
            <w:vAlign w:val="center"/>
            <w:hideMark/>
          </w:tcPr>
          <w:p w14:paraId="01531E7D"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Les émetteurs doivent disposer d’un système de détection et prévention de la fraude. Les règles définies permettent de déceler les comportements potentiellement frauduleux sur la base d’un ensemble de critères (IP, liste noire, compteurs, etc.…). </w:t>
            </w:r>
          </w:p>
        </w:tc>
        <w:tc>
          <w:tcPr>
            <w:tcW w:w="1350" w:type="dxa"/>
            <w:gridSpan w:val="2"/>
            <w:shd w:val="clear" w:color="000000" w:fill="DDEBF7"/>
            <w:vAlign w:val="center"/>
            <w:hideMark/>
          </w:tcPr>
          <w:p w14:paraId="6CC55F3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AE3084A"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026A7F61"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0450242E"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hideMark/>
          </w:tcPr>
          <w:p w14:paraId="11889CFB"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w:t>
            </w:r>
          </w:p>
        </w:tc>
        <w:tc>
          <w:tcPr>
            <w:tcW w:w="1350" w:type="dxa"/>
            <w:gridSpan w:val="2"/>
            <w:vMerge w:val="restart"/>
            <w:shd w:val="clear" w:color="auto" w:fill="FFC000"/>
            <w:vAlign w:val="center"/>
            <w:hideMark/>
          </w:tcPr>
          <w:p w14:paraId="40FAF95D" w14:textId="0C4B2E73"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73D36C1" w14:textId="5600699C"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65F2987"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4AA56A0E"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46E26F4F"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qu’il utilise un système de prévention et de détection de la fraude efficace pour identifier les opérations suspectes avant de les autoriser ;</w:t>
            </w:r>
          </w:p>
        </w:tc>
        <w:tc>
          <w:tcPr>
            <w:tcW w:w="1350" w:type="dxa"/>
            <w:gridSpan w:val="2"/>
            <w:vMerge/>
            <w:shd w:val="clear" w:color="auto" w:fill="FFC000"/>
            <w:vAlign w:val="center"/>
            <w:hideMark/>
          </w:tcPr>
          <w:p w14:paraId="77D4FA78"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099C674" w14:textId="77777777" w:rsidR="00545AF2" w:rsidRPr="00A5045C" w:rsidRDefault="00545AF2" w:rsidP="00545AF2">
            <w:pPr>
              <w:spacing w:before="0" w:beforeAutospacing="0" w:after="0" w:afterAutospacing="0"/>
              <w:rPr>
                <w:rFonts w:cs="Arial"/>
                <w:szCs w:val="18"/>
              </w:rPr>
            </w:pPr>
          </w:p>
        </w:tc>
      </w:tr>
      <w:tr w:rsidR="00545AF2" w:rsidRPr="001148E2" w14:paraId="05C4FEF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6BC914A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1C29569B"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que son système est maintenu à jour (paramétrages, règles, etc.).</w:t>
            </w:r>
          </w:p>
        </w:tc>
        <w:tc>
          <w:tcPr>
            <w:tcW w:w="1350" w:type="dxa"/>
            <w:gridSpan w:val="2"/>
            <w:vMerge/>
            <w:shd w:val="clear" w:color="auto" w:fill="FFC000"/>
            <w:vAlign w:val="center"/>
            <w:hideMark/>
          </w:tcPr>
          <w:p w14:paraId="78EC445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B076546" w14:textId="77777777" w:rsidR="00545AF2" w:rsidRPr="00A5045C" w:rsidRDefault="00545AF2" w:rsidP="00545AF2">
            <w:pPr>
              <w:spacing w:before="0" w:beforeAutospacing="0" w:after="0" w:afterAutospacing="0"/>
              <w:rPr>
                <w:rFonts w:cs="Arial"/>
                <w:szCs w:val="18"/>
              </w:rPr>
            </w:pPr>
          </w:p>
        </w:tc>
      </w:tr>
      <w:tr w:rsidR="00545AF2" w:rsidRPr="001148E2" w14:paraId="677E2A3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7176A0C6" w14:textId="55A4E76E" w:rsidR="00545AF2" w:rsidRPr="00A5045C" w:rsidRDefault="00545AF2" w:rsidP="00545AF2">
            <w:pPr>
              <w:spacing w:before="0" w:beforeAutospacing="0" w:after="0" w:afterAutospacing="0"/>
              <w:jc w:val="center"/>
              <w:rPr>
                <w:rFonts w:cs="Arial"/>
                <w:b/>
                <w:bCs/>
                <w:szCs w:val="18"/>
              </w:rPr>
            </w:pPr>
            <w:r>
              <w:rPr>
                <w:rFonts w:cs="Arial"/>
                <w:b/>
                <w:bCs/>
                <w:szCs w:val="18"/>
              </w:rPr>
              <w:t>9</w:t>
            </w:r>
            <w:r w:rsidRPr="00A5045C">
              <w:rPr>
                <w:rFonts w:cs="Arial"/>
                <w:b/>
                <w:bCs/>
                <w:szCs w:val="18"/>
              </w:rPr>
              <w:t xml:space="preserve">.2 </w:t>
            </w:r>
          </w:p>
        </w:tc>
        <w:tc>
          <w:tcPr>
            <w:tcW w:w="10211" w:type="dxa"/>
            <w:gridSpan w:val="2"/>
            <w:shd w:val="clear" w:color="000000" w:fill="DDEBF7"/>
            <w:noWrap/>
            <w:vAlign w:val="center"/>
            <w:hideMark/>
          </w:tcPr>
          <w:p w14:paraId="6F02B19B"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 système de détection de la fraude doit être en mesure de prendre en compte toutes les fraudes et tentatives de fraude qui peuvent intervenir depuis l’émission des titres jusqu’à leur utilisation et leur remboursement final.</w:t>
            </w:r>
          </w:p>
        </w:tc>
        <w:tc>
          <w:tcPr>
            <w:tcW w:w="1350" w:type="dxa"/>
            <w:gridSpan w:val="2"/>
            <w:shd w:val="clear" w:color="000000" w:fill="DDEBF7"/>
            <w:vAlign w:val="center"/>
            <w:hideMark/>
          </w:tcPr>
          <w:p w14:paraId="556473E1"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09BE603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231A321B"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shd w:val="clear" w:color="000000" w:fill="FFFFFF"/>
            <w:noWrap/>
            <w:vAlign w:val="center"/>
            <w:hideMark/>
          </w:tcPr>
          <w:p w14:paraId="6E278DEC"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7E7C8B2B" w14:textId="77777777" w:rsidR="00B465EF" w:rsidRPr="00A5045C" w:rsidRDefault="00B465EF" w:rsidP="00B465EF">
            <w:pPr>
              <w:spacing w:before="0" w:beforeAutospacing="0" w:after="0" w:afterAutospacing="0"/>
              <w:jc w:val="both"/>
              <w:rPr>
                <w:rFonts w:cs="Arial"/>
                <w:szCs w:val="18"/>
              </w:rPr>
            </w:pPr>
            <w:r w:rsidRPr="00A5045C">
              <w:rPr>
                <w:rFonts w:cs="Arial"/>
                <w:szCs w:val="18"/>
              </w:rPr>
              <w:t>Le système de prévention et de détection de la fraude doit prendre en compte les paramètres pertinents, (par exemple la date de la transaction, la localisation du commerçant, l’adresse IP, le montant). Dans le cas où l’émetteur ferait cohabiter titres papiers et titres dématérialisés, celui-ci s’assure notamment que le système de gestion prévoit qu’un titre ne peut être présenté deux fois au paiement ou au remboursement.</w:t>
            </w:r>
          </w:p>
        </w:tc>
        <w:tc>
          <w:tcPr>
            <w:tcW w:w="1350" w:type="dxa"/>
            <w:gridSpan w:val="2"/>
            <w:shd w:val="clear" w:color="auto" w:fill="FFC000"/>
            <w:vAlign w:val="center"/>
            <w:hideMark/>
          </w:tcPr>
          <w:p w14:paraId="0AF3FB51" w14:textId="6C221954"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4CFD0E4B" w14:textId="760ECC4A"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A826E0" w14:paraId="436B5D1A"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3F010E00" w14:textId="324F4FC9" w:rsidR="00545AF2" w:rsidRPr="00A826E0" w:rsidRDefault="00545AF2" w:rsidP="00545AF2">
            <w:pPr>
              <w:spacing w:before="0" w:beforeAutospacing="0" w:after="0" w:afterAutospacing="0"/>
              <w:jc w:val="center"/>
              <w:rPr>
                <w:rFonts w:cs="Arial"/>
                <w:b/>
                <w:sz w:val="20"/>
                <w:szCs w:val="18"/>
              </w:rPr>
            </w:pPr>
            <w:r>
              <w:rPr>
                <w:rFonts w:cs="Arial"/>
                <w:b/>
                <w:sz w:val="20"/>
                <w:szCs w:val="18"/>
              </w:rPr>
              <w:t>10</w:t>
            </w:r>
            <w:r w:rsidRPr="00A826E0">
              <w:rPr>
                <w:rFonts w:cs="Arial"/>
                <w:b/>
                <w:sz w:val="20"/>
                <w:szCs w:val="18"/>
              </w:rPr>
              <w:t>.</w:t>
            </w:r>
          </w:p>
        </w:tc>
        <w:tc>
          <w:tcPr>
            <w:tcW w:w="10211" w:type="dxa"/>
            <w:gridSpan w:val="2"/>
            <w:shd w:val="clear" w:color="auto" w:fill="B8CCE4" w:themeFill="accent1" w:themeFillTint="66"/>
            <w:noWrap/>
            <w:vAlign w:val="center"/>
            <w:hideMark/>
          </w:tcPr>
          <w:p w14:paraId="2682E7D3"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Protection des données sensibles de paiement</w:t>
            </w:r>
          </w:p>
        </w:tc>
        <w:tc>
          <w:tcPr>
            <w:tcW w:w="1350" w:type="dxa"/>
            <w:gridSpan w:val="2"/>
            <w:shd w:val="clear" w:color="auto" w:fill="B8CCE4" w:themeFill="accent1" w:themeFillTint="66"/>
            <w:vAlign w:val="center"/>
            <w:hideMark/>
          </w:tcPr>
          <w:p w14:paraId="07044A9E"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 </w:t>
            </w:r>
          </w:p>
        </w:tc>
        <w:tc>
          <w:tcPr>
            <w:tcW w:w="2545" w:type="dxa"/>
            <w:gridSpan w:val="2"/>
            <w:shd w:val="clear" w:color="auto" w:fill="B8CCE4" w:themeFill="accent1" w:themeFillTint="66"/>
            <w:vAlign w:val="center"/>
            <w:hideMark/>
          </w:tcPr>
          <w:p w14:paraId="4AAF5562"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 </w:t>
            </w:r>
          </w:p>
        </w:tc>
      </w:tr>
      <w:tr w:rsidR="00545AF2" w:rsidRPr="001148E2" w14:paraId="5CABF645"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8DF99BF" w14:textId="27B4B048"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.1 </w:t>
            </w:r>
          </w:p>
        </w:tc>
        <w:tc>
          <w:tcPr>
            <w:tcW w:w="10211" w:type="dxa"/>
            <w:gridSpan w:val="2"/>
            <w:shd w:val="clear" w:color="000000" w:fill="DDEBF7"/>
            <w:noWrap/>
            <w:vAlign w:val="center"/>
            <w:hideMark/>
          </w:tcPr>
          <w:p w14:paraId="0519EC10"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Toutes les données utilisées à des fins d’identification (identifiant, mot de passe, données personnelles, etc.) ainsi que les interfaces clients doivent être protégées contre l’usurpation et les accès frauduleux (par exemple en chiffrant le stockage et/ou la transmission).</w:t>
            </w:r>
          </w:p>
        </w:tc>
        <w:tc>
          <w:tcPr>
            <w:tcW w:w="1350" w:type="dxa"/>
            <w:gridSpan w:val="2"/>
            <w:shd w:val="clear" w:color="000000" w:fill="DDEBF7"/>
            <w:vAlign w:val="center"/>
            <w:hideMark/>
          </w:tcPr>
          <w:p w14:paraId="4E81D3B7"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5A3EC4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21F5318"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shd w:val="clear" w:color="000000" w:fill="FFFFFF"/>
            <w:noWrap/>
            <w:vAlign w:val="center"/>
            <w:hideMark/>
          </w:tcPr>
          <w:p w14:paraId="4C13A1C9" w14:textId="77777777" w:rsidR="00B465EF" w:rsidRPr="00A5045C" w:rsidRDefault="00B465EF" w:rsidP="00B465EF">
            <w:pPr>
              <w:spacing w:before="0" w:beforeAutospacing="0" w:after="0" w:afterAutospacing="0"/>
              <w:jc w:val="center"/>
              <w:rPr>
                <w:rFonts w:cs="Arial"/>
                <w:szCs w:val="18"/>
              </w:rPr>
            </w:pPr>
            <w:r w:rsidRPr="00A5045C">
              <w:rPr>
                <w:rFonts w:cs="Arial"/>
                <w:szCs w:val="18"/>
              </w:rPr>
              <w:lastRenderedPageBreak/>
              <w:t> </w:t>
            </w:r>
          </w:p>
        </w:tc>
        <w:tc>
          <w:tcPr>
            <w:tcW w:w="10211" w:type="dxa"/>
            <w:gridSpan w:val="2"/>
            <w:shd w:val="clear" w:color="000000" w:fill="FFFFFF"/>
            <w:noWrap/>
            <w:vAlign w:val="center"/>
            <w:hideMark/>
          </w:tcPr>
          <w:p w14:paraId="28328B5D"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a identifié les données sensibles et a mis en place des mesures de sécurité dédiées pour lutter contre le vol, l’accès ou la modification non autorisée de celles-ci. Ces mesures s’appliquent aussi bien au système d’information interne à l’émetteur qu’aux environnements mis à disposition pour les partenaires (financeurs, accepteurs, entreprises, etc.) et pour les utilisateurs (extranets de consultation des soldes, etc.).</w:t>
            </w:r>
          </w:p>
        </w:tc>
        <w:tc>
          <w:tcPr>
            <w:tcW w:w="1350" w:type="dxa"/>
            <w:gridSpan w:val="2"/>
            <w:shd w:val="clear" w:color="auto" w:fill="FFC000"/>
            <w:vAlign w:val="center"/>
            <w:hideMark/>
          </w:tcPr>
          <w:p w14:paraId="3619457A" w14:textId="1604A88E"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028B393C" w14:textId="26EE8309"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2B5E5203"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76C37E35" w14:textId="59DB80F6"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.2 </w:t>
            </w:r>
          </w:p>
        </w:tc>
        <w:tc>
          <w:tcPr>
            <w:tcW w:w="10211" w:type="dxa"/>
            <w:gridSpan w:val="2"/>
            <w:shd w:val="clear" w:color="000000" w:fill="DDEBF7"/>
            <w:noWrap/>
            <w:vAlign w:val="center"/>
            <w:hideMark/>
          </w:tcPr>
          <w:p w14:paraId="44CDBAD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s’assurer de l’intégrité et de la confidentialité des données transmises entre l’accepteur et l’acquéreur par exemple par la mise en place d’une liaison chiffrée.</w:t>
            </w:r>
          </w:p>
        </w:tc>
        <w:tc>
          <w:tcPr>
            <w:tcW w:w="1350" w:type="dxa"/>
            <w:gridSpan w:val="2"/>
            <w:shd w:val="clear" w:color="000000" w:fill="DDEBF7"/>
            <w:vAlign w:val="center"/>
            <w:hideMark/>
          </w:tcPr>
          <w:p w14:paraId="23852F5C"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77695D1"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013741EA"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5C7D03D2"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43087B1C"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les données échangées de bout-en-bout avec l’accepteur ou l’acquéreur sont protégées par chiffrement et que leur intégrité est vérifiée.</w:t>
            </w:r>
          </w:p>
        </w:tc>
        <w:tc>
          <w:tcPr>
            <w:tcW w:w="1350" w:type="dxa"/>
            <w:gridSpan w:val="2"/>
            <w:shd w:val="clear" w:color="auto" w:fill="FFC000"/>
            <w:vAlign w:val="center"/>
            <w:hideMark/>
          </w:tcPr>
          <w:p w14:paraId="3767C99F" w14:textId="23E3DFA3"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23AEBA8C" w14:textId="24146277" w:rsidR="00B465EF" w:rsidRPr="00A5045C" w:rsidRDefault="00B465EF" w:rsidP="00B465EF">
            <w:pPr>
              <w:spacing w:before="0" w:beforeAutospacing="0" w:after="0" w:afterAutospacing="0"/>
              <w:jc w:val="center"/>
              <w:rPr>
                <w:rFonts w:cs="Arial"/>
                <w:szCs w:val="18"/>
              </w:rPr>
            </w:pPr>
            <w:r>
              <w:rPr>
                <w:rFonts w:cs="Arial"/>
                <w:color w:val="000000"/>
                <w:szCs w:val="18"/>
              </w:rPr>
              <w:t xml:space="preserve">500 caractères </w:t>
            </w:r>
            <w:r w:rsidR="00F4791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79AE72ED"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3FE85233" w14:textId="54EF5028"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.3 </w:t>
            </w:r>
          </w:p>
        </w:tc>
        <w:tc>
          <w:tcPr>
            <w:tcW w:w="10211" w:type="dxa"/>
            <w:gridSpan w:val="2"/>
            <w:shd w:val="clear" w:color="000000" w:fill="DDEBF7"/>
            <w:noWrap/>
            <w:vAlign w:val="center"/>
            <w:hideMark/>
          </w:tcPr>
          <w:p w14:paraId="4EA63E1A"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s’assure que les dispositifs d’acceptation de leurs </w:t>
            </w:r>
            <w:r>
              <w:rPr>
                <w:rFonts w:cs="Arial"/>
                <w:b/>
                <w:bCs/>
                <w:szCs w:val="18"/>
              </w:rPr>
              <w:t>TSPD/IPS</w:t>
            </w:r>
            <w:r w:rsidRPr="00A5045C">
              <w:rPr>
                <w:rFonts w:cs="Arial"/>
                <w:b/>
                <w:bCs/>
                <w:szCs w:val="18"/>
              </w:rPr>
              <w:t xml:space="preserve"> garantissent l’intégrité de la transaction et qu’ils sont régulièrement évalués sur leur résistance aux tentatives d’intrusion et de compromission.</w:t>
            </w:r>
          </w:p>
        </w:tc>
        <w:tc>
          <w:tcPr>
            <w:tcW w:w="1350" w:type="dxa"/>
            <w:gridSpan w:val="2"/>
            <w:shd w:val="clear" w:color="000000" w:fill="DDEBF7"/>
            <w:vAlign w:val="center"/>
            <w:hideMark/>
          </w:tcPr>
          <w:p w14:paraId="5AA94D0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2BFBE5D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124F46AE"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347BE2E9"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hideMark/>
          </w:tcPr>
          <w:p w14:paraId="0FBCE561"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L’émetteur doit s’assurer du niveau de sécurité des dispositifs d’acceptation du </w:t>
            </w:r>
            <w:r>
              <w:rPr>
                <w:rFonts w:cs="Arial"/>
                <w:szCs w:val="18"/>
              </w:rPr>
              <w:t>TSPD/IPS</w:t>
            </w:r>
            <w:r w:rsidRPr="00A5045C">
              <w:rPr>
                <w:rFonts w:cs="Arial"/>
                <w:szCs w:val="18"/>
              </w:rPr>
              <w:t>, en particulier par :</w:t>
            </w:r>
          </w:p>
        </w:tc>
        <w:tc>
          <w:tcPr>
            <w:tcW w:w="1350" w:type="dxa"/>
            <w:gridSpan w:val="2"/>
            <w:vMerge w:val="restart"/>
            <w:shd w:val="clear" w:color="auto" w:fill="FFC000"/>
            <w:vAlign w:val="center"/>
            <w:hideMark/>
          </w:tcPr>
          <w:p w14:paraId="5CB880D2" w14:textId="1104FAD8"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2D32D62D" w14:textId="2B3C3677"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E09E5CF"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06573BE2"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BA10931"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une évaluation régulière de la robustesse des dispositifs d’acceptation aux différentes typologies de tentatives de compromission ;</w:t>
            </w:r>
          </w:p>
        </w:tc>
        <w:tc>
          <w:tcPr>
            <w:tcW w:w="1350" w:type="dxa"/>
            <w:gridSpan w:val="2"/>
            <w:vMerge/>
            <w:shd w:val="clear" w:color="auto" w:fill="FFC000"/>
            <w:vAlign w:val="center"/>
            <w:hideMark/>
          </w:tcPr>
          <w:p w14:paraId="4BEA909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0B8D682" w14:textId="77777777" w:rsidR="00545AF2" w:rsidRPr="00A5045C" w:rsidRDefault="00545AF2" w:rsidP="00545AF2">
            <w:pPr>
              <w:spacing w:before="0" w:beforeAutospacing="0" w:after="0" w:afterAutospacing="0"/>
              <w:rPr>
                <w:rFonts w:cs="Arial"/>
                <w:szCs w:val="18"/>
              </w:rPr>
            </w:pPr>
          </w:p>
        </w:tc>
      </w:tr>
      <w:tr w:rsidR="00545AF2" w:rsidRPr="001148E2" w14:paraId="4D23DF01"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6CC212F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6C5E47B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la surveillance d’indicateurs dont le but est de détecter les comportements susceptibles d’être liés à une fraude sur le dispositif d’acceptation ;</w:t>
            </w:r>
          </w:p>
        </w:tc>
        <w:tc>
          <w:tcPr>
            <w:tcW w:w="1350" w:type="dxa"/>
            <w:gridSpan w:val="2"/>
            <w:vMerge/>
            <w:shd w:val="clear" w:color="auto" w:fill="FFC000"/>
            <w:vAlign w:val="center"/>
            <w:hideMark/>
          </w:tcPr>
          <w:p w14:paraId="77F274D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B789CCB" w14:textId="77777777" w:rsidR="00545AF2" w:rsidRPr="00A5045C" w:rsidRDefault="00545AF2" w:rsidP="00545AF2">
            <w:pPr>
              <w:spacing w:before="0" w:beforeAutospacing="0" w:after="0" w:afterAutospacing="0"/>
              <w:rPr>
                <w:rFonts w:cs="Arial"/>
                <w:szCs w:val="18"/>
              </w:rPr>
            </w:pPr>
          </w:p>
        </w:tc>
      </w:tr>
      <w:tr w:rsidR="00545AF2" w:rsidRPr="001148E2" w14:paraId="42365DF7"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742EF93C"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491C64C3"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la capacité à désactiver le parc de dispositifs d’acceptation ainsi que la faculté de déploiement rapide de mises à jour logicielle et/ou  matérielle.</w:t>
            </w:r>
          </w:p>
        </w:tc>
        <w:tc>
          <w:tcPr>
            <w:tcW w:w="1350" w:type="dxa"/>
            <w:gridSpan w:val="2"/>
            <w:vMerge/>
            <w:shd w:val="clear" w:color="auto" w:fill="FFC000"/>
            <w:vAlign w:val="center"/>
            <w:hideMark/>
          </w:tcPr>
          <w:p w14:paraId="6152715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2D22085" w14:textId="77777777" w:rsidR="00545AF2" w:rsidRPr="00A5045C" w:rsidRDefault="00545AF2" w:rsidP="00545AF2">
            <w:pPr>
              <w:spacing w:before="0" w:beforeAutospacing="0" w:after="0" w:afterAutospacing="0"/>
              <w:rPr>
                <w:rFonts w:cs="Arial"/>
                <w:szCs w:val="18"/>
              </w:rPr>
            </w:pPr>
          </w:p>
        </w:tc>
      </w:tr>
      <w:tr w:rsidR="00545AF2" w:rsidRPr="001148E2" w14:paraId="1B1436C3"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646" w:type="dxa"/>
            <w:gridSpan w:val="2"/>
            <w:shd w:val="clear" w:color="000000" w:fill="DDEBF7"/>
            <w:noWrap/>
            <w:vAlign w:val="center"/>
            <w:hideMark/>
          </w:tcPr>
          <w:p w14:paraId="3ABFA9CB" w14:textId="7BE2F2DB"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.4 </w:t>
            </w:r>
          </w:p>
        </w:tc>
        <w:tc>
          <w:tcPr>
            <w:tcW w:w="10211" w:type="dxa"/>
            <w:gridSpan w:val="2"/>
            <w:shd w:val="clear" w:color="000000" w:fill="DDEBF7"/>
            <w:noWrap/>
            <w:vAlign w:val="center"/>
            <w:hideMark/>
          </w:tcPr>
          <w:p w14:paraId="65E19B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s’assurer que les accepteurs ne stockent pas de donnée sensible, ou dans le cas contraire que ces derniers ont mis en place un niveau de protection des données approprié (par exemple au moyen d’une procédure de chiffrement). En cas de non-respect de ces obligations, l’émetteur peut suspendre le contrat avec l’accepteur.</w:t>
            </w:r>
          </w:p>
        </w:tc>
        <w:tc>
          <w:tcPr>
            <w:tcW w:w="1350" w:type="dxa"/>
            <w:gridSpan w:val="2"/>
            <w:shd w:val="clear" w:color="000000" w:fill="DDEBF7"/>
            <w:vAlign w:val="center"/>
            <w:hideMark/>
          </w:tcPr>
          <w:p w14:paraId="1B09E8C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635052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464AB268"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val="restart"/>
            <w:shd w:val="clear" w:color="000000" w:fill="FFFFFF"/>
            <w:noWrap/>
            <w:vAlign w:val="center"/>
          </w:tcPr>
          <w:p w14:paraId="71859F25" w14:textId="77777777" w:rsidR="00B465EF" w:rsidRPr="00A5045C" w:rsidRDefault="00B465EF" w:rsidP="00B465EF">
            <w:pPr>
              <w:spacing w:before="0" w:after="0"/>
              <w:jc w:val="center"/>
              <w:rPr>
                <w:rFonts w:cs="Arial"/>
                <w:szCs w:val="18"/>
              </w:rPr>
            </w:pPr>
          </w:p>
        </w:tc>
        <w:tc>
          <w:tcPr>
            <w:tcW w:w="10211" w:type="dxa"/>
            <w:gridSpan w:val="2"/>
            <w:shd w:val="clear" w:color="000000" w:fill="FFFFFF"/>
            <w:noWrap/>
            <w:vAlign w:val="center"/>
            <w:hideMark/>
          </w:tcPr>
          <w:p w14:paraId="2E373325" w14:textId="4C8BC414" w:rsidR="00B465EF" w:rsidRPr="00A5045C" w:rsidRDefault="00B465EF" w:rsidP="00B465EF">
            <w:pPr>
              <w:spacing w:before="0" w:beforeAutospacing="0" w:after="0" w:afterAutospacing="0"/>
              <w:jc w:val="both"/>
              <w:rPr>
                <w:rFonts w:cs="Arial"/>
                <w:szCs w:val="18"/>
              </w:rPr>
            </w:pPr>
            <w:r>
              <w:rPr>
                <w:rFonts w:cs="Arial"/>
                <w:szCs w:val="18"/>
              </w:rPr>
              <w:t>a)</w:t>
            </w:r>
            <w:r w:rsidRPr="00A5045C">
              <w:rPr>
                <w:rFonts w:cs="Arial"/>
                <w:szCs w:val="18"/>
              </w:rPr>
              <w:t xml:space="preserve"> L’émetteur de </w:t>
            </w:r>
            <w:r>
              <w:rPr>
                <w:rFonts w:cs="Arial"/>
                <w:szCs w:val="18"/>
              </w:rPr>
              <w:t>TSPD/IPS</w:t>
            </w:r>
            <w:r w:rsidRPr="00A5045C">
              <w:rPr>
                <w:rFonts w:cs="Arial"/>
                <w:szCs w:val="18"/>
              </w:rPr>
              <w:t xml:space="preserve"> doit encourager les commerçants à ne pas stocker de données sensibles. Dans la mesure où il est légitime qu’ils puissent avoir accès à certaines de ces données a posteriori, l’émetteur de </w:t>
            </w:r>
            <w:r>
              <w:rPr>
                <w:rFonts w:cs="Arial"/>
                <w:szCs w:val="18"/>
              </w:rPr>
              <w:t>TSPD/IPS</w:t>
            </w:r>
            <w:r w:rsidRPr="00A5045C">
              <w:rPr>
                <w:rFonts w:cs="Arial"/>
                <w:szCs w:val="18"/>
              </w:rPr>
              <w:t xml:space="preserve"> doit proposer les services adéquats pour que les commerçants n’aient pas à les stocker ou exiger contractuellement, dans le cas contraire, qu’elles soient correctement protégées.</w:t>
            </w:r>
          </w:p>
        </w:tc>
        <w:tc>
          <w:tcPr>
            <w:tcW w:w="1350" w:type="dxa"/>
            <w:gridSpan w:val="2"/>
            <w:vMerge w:val="restart"/>
            <w:shd w:val="clear" w:color="auto" w:fill="FFC000"/>
            <w:vAlign w:val="center"/>
            <w:hideMark/>
          </w:tcPr>
          <w:p w14:paraId="16B1F114" w14:textId="5FD9CAA6"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437A4F8D" w14:textId="67DE476D"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0E5E0265" w14:textId="77777777" w:rsidTr="003C1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3AAB25FC"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52DD0518" w14:textId="28EE0B4F"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doit s’assurer régulièrement du respect de ces bonnes pratiques par les commerçants et prendre les mesures nécessaires pour inciter le commerçant à les respecter. L’émetteur de </w:t>
            </w:r>
            <w:r>
              <w:rPr>
                <w:rFonts w:cs="Arial"/>
                <w:szCs w:val="18"/>
              </w:rPr>
              <w:t>TSPD/IPS</w:t>
            </w:r>
            <w:r w:rsidRPr="00A5045C">
              <w:rPr>
                <w:rFonts w:cs="Arial"/>
                <w:szCs w:val="18"/>
              </w:rPr>
              <w:t xml:space="preserve"> pourra mettre fin au contrat en cas de non-conformité.</w:t>
            </w:r>
          </w:p>
        </w:tc>
        <w:tc>
          <w:tcPr>
            <w:tcW w:w="1350" w:type="dxa"/>
            <w:gridSpan w:val="2"/>
            <w:vMerge/>
            <w:shd w:val="clear" w:color="auto" w:fill="FFC000"/>
            <w:vAlign w:val="center"/>
            <w:hideMark/>
          </w:tcPr>
          <w:p w14:paraId="04194DA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9C5A529" w14:textId="77777777" w:rsidR="00545AF2" w:rsidRPr="00A5045C" w:rsidRDefault="00545AF2" w:rsidP="00545AF2">
            <w:pPr>
              <w:spacing w:before="0" w:beforeAutospacing="0" w:after="0" w:afterAutospacing="0"/>
              <w:rPr>
                <w:rFonts w:cs="Arial"/>
                <w:szCs w:val="18"/>
              </w:rPr>
            </w:pPr>
          </w:p>
        </w:tc>
      </w:tr>
      <w:tr w:rsidR="00545AF2" w:rsidRPr="00A826E0" w14:paraId="1E7BCCC3"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78E90C4" w14:textId="4F349995" w:rsidR="00545AF2" w:rsidRPr="00A826E0" w:rsidRDefault="00545AF2" w:rsidP="00545AF2">
            <w:pPr>
              <w:spacing w:before="0" w:beforeAutospacing="0" w:after="0" w:afterAutospacing="0"/>
              <w:jc w:val="both"/>
              <w:rPr>
                <w:rFonts w:cs="Arial"/>
                <w:b/>
                <w:sz w:val="20"/>
              </w:rPr>
            </w:pPr>
            <w:r w:rsidRPr="00A826E0">
              <w:rPr>
                <w:rFonts w:cs="Arial"/>
                <w:b/>
                <w:sz w:val="20"/>
              </w:rPr>
              <w:t>1</w:t>
            </w:r>
            <w:r>
              <w:rPr>
                <w:rFonts w:cs="Arial"/>
                <w:b/>
                <w:sz w:val="20"/>
              </w:rPr>
              <w:t>1</w:t>
            </w:r>
            <w:r w:rsidRPr="00A826E0">
              <w:rPr>
                <w:rFonts w:cs="Arial"/>
                <w:b/>
                <w:sz w:val="20"/>
              </w:rPr>
              <w:t>.</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3549242" w14:textId="77777777" w:rsidR="00545AF2" w:rsidRPr="00A826E0" w:rsidRDefault="00545AF2" w:rsidP="00545AF2">
            <w:pPr>
              <w:spacing w:before="0" w:beforeAutospacing="0" w:after="0" w:afterAutospacing="0"/>
              <w:rPr>
                <w:rFonts w:cs="Arial"/>
                <w:b/>
                <w:sz w:val="20"/>
              </w:rPr>
            </w:pPr>
            <w:r w:rsidRPr="00A826E0">
              <w:rPr>
                <w:rFonts w:cs="Arial"/>
                <w:b/>
                <w:sz w:val="20"/>
              </w:rPr>
              <w:t>Sensibilisation de l’utilisateur aux règles de sécurité</w:t>
            </w:r>
          </w:p>
        </w:tc>
      </w:tr>
      <w:tr w:rsidR="00545AF2" w:rsidRPr="001148E2" w14:paraId="081CAD66" w14:textId="77777777" w:rsidTr="00733123">
        <w:trPr>
          <w:trHeight w:val="16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E6B2611" w14:textId="2FF4D8B3" w:rsidR="00545AF2" w:rsidRPr="00A5045C" w:rsidRDefault="00545AF2" w:rsidP="00545AF2">
            <w:pPr>
              <w:spacing w:before="0" w:beforeAutospacing="0" w:after="0" w:afterAutospacing="0"/>
              <w:jc w:val="center"/>
              <w:rPr>
                <w:rFonts w:cs="Arial"/>
                <w:b/>
                <w:bCs/>
                <w:szCs w:val="18"/>
              </w:rPr>
            </w:pPr>
            <w:r w:rsidRPr="00A5045C">
              <w:rPr>
                <w:rFonts w:cs="Arial"/>
                <w:b/>
                <w:bCs/>
                <w:szCs w:val="18"/>
              </w:rPr>
              <w:t>1</w:t>
            </w:r>
            <w:r>
              <w:rPr>
                <w:rFonts w:cs="Arial"/>
                <w:b/>
                <w:bCs/>
                <w:szCs w:val="18"/>
              </w:rPr>
              <w:t>1</w:t>
            </w:r>
            <w:r w:rsidRPr="00A5045C">
              <w:rPr>
                <w:rFonts w:cs="Arial"/>
                <w:b/>
                <w:bCs/>
                <w:szCs w:val="18"/>
              </w:rPr>
              <w:t xml:space="preserve">.1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FA009C1" w14:textId="0D21A540" w:rsidR="00545AF2" w:rsidRPr="00A5045C" w:rsidRDefault="00545AF2" w:rsidP="00545AF2">
            <w:pPr>
              <w:spacing w:before="0" w:beforeAutospacing="0" w:after="0" w:afterAutospacing="0"/>
              <w:rPr>
                <w:rFonts w:cs="Arial"/>
                <w:b/>
                <w:bCs/>
                <w:szCs w:val="18"/>
              </w:rPr>
            </w:pPr>
            <w:r w:rsidRPr="00A5045C">
              <w:rPr>
                <w:rFonts w:cs="Arial"/>
                <w:b/>
                <w:bCs/>
                <w:szCs w:val="18"/>
              </w:rPr>
              <w:t xml:space="preserve">L’émetteur doit veiller à la sensibilisation des utilisateurs aux règles de sécurité des </w:t>
            </w:r>
            <w:r>
              <w:rPr>
                <w:rFonts w:cs="Arial"/>
                <w:b/>
                <w:bCs/>
                <w:szCs w:val="18"/>
              </w:rPr>
              <w:t>TSPD/IPS</w:t>
            </w:r>
            <w:r w:rsidRPr="00A5045C">
              <w:rPr>
                <w:rFonts w:cs="Arial"/>
                <w:b/>
                <w:bCs/>
                <w:szCs w:val="18"/>
              </w:rPr>
              <w:t xml:space="preserve"> en  particulier par la mise à disposition :</w:t>
            </w:r>
            <w:r w:rsidRPr="00A5045C">
              <w:rPr>
                <w:rFonts w:cs="Arial"/>
                <w:b/>
                <w:bCs/>
                <w:szCs w:val="18"/>
              </w:rPr>
              <w:br/>
              <w:t xml:space="preserve">·  de préconisations permettant à l’utilisateur d’utiliser les </w:t>
            </w:r>
            <w:r>
              <w:rPr>
                <w:rFonts w:cs="Arial"/>
                <w:b/>
                <w:bCs/>
                <w:szCs w:val="18"/>
              </w:rPr>
              <w:t>TSPD/IPS</w:t>
            </w:r>
            <w:r w:rsidRPr="00A5045C">
              <w:rPr>
                <w:rFonts w:cs="Arial"/>
                <w:b/>
                <w:bCs/>
                <w:szCs w:val="18"/>
              </w:rPr>
              <w:t xml:space="preserve"> en préservant la sécurité de ses accès ;</w:t>
            </w:r>
            <w:r w:rsidRPr="00A5045C">
              <w:rPr>
                <w:rFonts w:cs="Arial"/>
                <w:b/>
                <w:bCs/>
                <w:szCs w:val="18"/>
              </w:rPr>
              <w:br/>
              <w:t xml:space="preserve">·  de procédures à suivre en cas de perte ou vol de l’instrument de paiement délivré pour réaliser une opération de paiement en </w:t>
            </w:r>
            <w:r>
              <w:rPr>
                <w:rFonts w:cs="Arial"/>
                <w:b/>
                <w:bCs/>
                <w:szCs w:val="18"/>
              </w:rPr>
              <w:t>TSPD/IPS</w:t>
            </w:r>
            <w:r w:rsidRPr="00A5045C">
              <w:rPr>
                <w:rFonts w:cs="Arial"/>
                <w:b/>
                <w:bCs/>
                <w:szCs w:val="18"/>
              </w:rPr>
              <w:t>;</w:t>
            </w:r>
            <w:r w:rsidRPr="00A5045C">
              <w:rPr>
                <w:rFonts w:cs="Arial"/>
                <w:b/>
                <w:bCs/>
                <w:szCs w:val="18"/>
              </w:rPr>
              <w:br/>
              <w:t>·  de procédures à suivre en cas de détection d’utilisation abusive ou frauduleuse.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9A3181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0DF0DA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B465EF" w:rsidRPr="001148E2" w14:paraId="3C3423F1" w14:textId="77777777" w:rsidTr="003C1F1E">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4C5B9" w14:textId="77777777" w:rsidR="00B465EF" w:rsidRPr="00A5045C" w:rsidRDefault="00B465EF" w:rsidP="00B465EF">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21ADE" w14:textId="77777777" w:rsidR="00B465EF" w:rsidRPr="00A5045C" w:rsidRDefault="00B465EF" w:rsidP="00B465EF">
            <w:pPr>
              <w:spacing w:before="0" w:beforeAutospacing="0" w:after="0" w:afterAutospacing="0"/>
              <w:jc w:val="both"/>
              <w:rPr>
                <w:rFonts w:cs="Arial"/>
                <w:szCs w:val="18"/>
              </w:rPr>
            </w:pPr>
            <w:r w:rsidRPr="00A5045C">
              <w:rPr>
                <w:rFonts w:cs="Arial"/>
                <w:szCs w:val="18"/>
              </w:rPr>
              <w:t xml:space="preserve">a) L’émetteur de </w:t>
            </w:r>
            <w:r>
              <w:rPr>
                <w:rFonts w:cs="Arial"/>
                <w:szCs w:val="18"/>
              </w:rPr>
              <w:t>TSPD/IPS</w:t>
            </w:r>
            <w:r w:rsidRPr="00A5045C">
              <w:rPr>
                <w:rFonts w:cs="Arial"/>
                <w:szCs w:val="18"/>
              </w:rPr>
              <w:t xml:space="preserve"> doit mettre en place une communication claire indiquant aux utilisateurs et financeurs la manière de recevoir des </w:t>
            </w:r>
            <w:r>
              <w:rPr>
                <w:rFonts w:cs="Arial"/>
                <w:szCs w:val="18"/>
              </w:rPr>
              <w:t>TSPD/IPS</w:t>
            </w:r>
            <w:r w:rsidRPr="00A5045C">
              <w:rPr>
                <w:rFonts w:cs="Arial"/>
                <w:szCs w:val="18"/>
              </w:rPr>
              <w:t>, de les utiliser et la règle de sécurité à appliquer pour se prémunir contre une utilisation frauduleuse.</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E1D91EA" w14:textId="17858341" w:rsidR="00B465EF" w:rsidRPr="00A5045C" w:rsidRDefault="00B465EF" w:rsidP="00B465EF">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F737A9F" w14:textId="341650EE" w:rsidR="00B465EF" w:rsidRPr="00A5045C" w:rsidRDefault="00B465EF" w:rsidP="00B465EF">
            <w:pPr>
              <w:spacing w:before="0" w:beforeAutospacing="0" w:after="0" w:afterAutospacing="0"/>
              <w:jc w:val="center"/>
              <w:rPr>
                <w:rFonts w:cs="Arial"/>
                <w:szCs w:val="18"/>
              </w:rPr>
            </w:pPr>
            <w:r>
              <w:rPr>
                <w:rFonts w:cs="Arial"/>
                <w:color w:val="000000"/>
                <w:szCs w:val="18"/>
              </w:rPr>
              <w:t>500 caractères</w:t>
            </w:r>
            <w:r w:rsidR="00F4791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79D7033" w14:textId="77777777" w:rsidTr="003C1F1E">
        <w:trPr>
          <w:trHeight w:val="456"/>
        </w:trPr>
        <w:tc>
          <w:tcPr>
            <w:tcW w:w="646" w:type="dxa"/>
            <w:gridSpan w:val="2"/>
            <w:tcBorders>
              <w:top w:val="single" w:sz="4" w:space="0" w:color="auto"/>
              <w:left w:val="single" w:sz="4" w:space="0" w:color="0070C0"/>
              <w:bottom w:val="nil"/>
              <w:right w:val="single" w:sz="4" w:space="0" w:color="0070C0"/>
            </w:tcBorders>
            <w:shd w:val="clear" w:color="000000" w:fill="FFFFFF"/>
            <w:noWrap/>
            <w:vAlign w:val="center"/>
            <w:hideMark/>
          </w:tcPr>
          <w:p w14:paraId="3753A9E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1FA98BC3" w14:textId="77777777" w:rsidR="00545AF2" w:rsidRPr="00A5045C" w:rsidRDefault="00545AF2" w:rsidP="00545AF2">
            <w:pPr>
              <w:spacing w:before="0" w:beforeAutospacing="0" w:after="0" w:afterAutospacing="0"/>
              <w:jc w:val="both"/>
              <w:rPr>
                <w:rFonts w:cs="Arial"/>
                <w:szCs w:val="18"/>
              </w:rPr>
            </w:pPr>
            <w:r w:rsidRPr="00A5045C">
              <w:rPr>
                <w:rFonts w:cs="Arial"/>
                <w:szCs w:val="18"/>
              </w:rPr>
              <w:t xml:space="preserve">b) L’émetteur de </w:t>
            </w:r>
            <w:r>
              <w:rPr>
                <w:rFonts w:cs="Arial"/>
                <w:szCs w:val="18"/>
              </w:rPr>
              <w:t>TSPD/IPS</w:t>
            </w:r>
            <w:r w:rsidRPr="00A5045C">
              <w:rPr>
                <w:rFonts w:cs="Arial"/>
                <w:szCs w:val="18"/>
              </w:rPr>
              <w:t xml:space="preserve"> doit prévoir un moyen d’informer ses utilisateurs et financeurs en cas d’incident majeur ou d’évolution du système les impactant.</w:t>
            </w:r>
          </w:p>
        </w:tc>
        <w:tc>
          <w:tcPr>
            <w:tcW w:w="1350" w:type="dxa"/>
            <w:gridSpan w:val="2"/>
            <w:vMerge/>
            <w:tcBorders>
              <w:top w:val="single" w:sz="4" w:space="0" w:color="auto"/>
              <w:left w:val="single" w:sz="4" w:space="0" w:color="0070C0"/>
              <w:bottom w:val="single" w:sz="4" w:space="0" w:color="000000"/>
              <w:right w:val="single" w:sz="4" w:space="0" w:color="0070C0"/>
            </w:tcBorders>
            <w:shd w:val="clear" w:color="auto" w:fill="FFC000"/>
            <w:vAlign w:val="center"/>
            <w:hideMark/>
          </w:tcPr>
          <w:p w14:paraId="46637BF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0070C0"/>
              <w:bottom w:val="single" w:sz="4" w:space="0" w:color="000000"/>
              <w:right w:val="single" w:sz="4" w:space="0" w:color="0070C0"/>
            </w:tcBorders>
            <w:shd w:val="clear" w:color="auto" w:fill="FFC000"/>
            <w:vAlign w:val="center"/>
            <w:hideMark/>
          </w:tcPr>
          <w:p w14:paraId="7196F762" w14:textId="77777777" w:rsidR="00545AF2" w:rsidRPr="00A5045C" w:rsidRDefault="00545AF2" w:rsidP="00545AF2">
            <w:pPr>
              <w:spacing w:before="0" w:beforeAutospacing="0" w:after="0" w:afterAutospacing="0"/>
              <w:rPr>
                <w:rFonts w:cs="Arial"/>
                <w:szCs w:val="18"/>
              </w:rPr>
            </w:pPr>
          </w:p>
        </w:tc>
      </w:tr>
      <w:tr w:rsidR="00545AF2" w:rsidRPr="001148E2" w14:paraId="6A7BB121" w14:textId="77777777" w:rsidTr="003C1F1E">
        <w:trPr>
          <w:trHeight w:val="1140"/>
        </w:trPr>
        <w:tc>
          <w:tcPr>
            <w:tcW w:w="646" w:type="dxa"/>
            <w:gridSpan w:val="2"/>
            <w:tcBorders>
              <w:top w:val="nil"/>
              <w:left w:val="single" w:sz="4" w:space="0" w:color="0070C0"/>
              <w:bottom w:val="single" w:sz="4" w:space="0" w:color="auto"/>
              <w:right w:val="single" w:sz="4" w:space="0" w:color="0070C0"/>
            </w:tcBorders>
            <w:shd w:val="clear" w:color="000000" w:fill="FFFFFF"/>
            <w:noWrap/>
            <w:vAlign w:val="center"/>
            <w:hideMark/>
          </w:tcPr>
          <w:p w14:paraId="7DE6294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1CA269E" w14:textId="77777777" w:rsidR="00545AF2" w:rsidRPr="00A5045C" w:rsidRDefault="00545AF2" w:rsidP="00545AF2">
            <w:pPr>
              <w:spacing w:before="0" w:beforeAutospacing="0" w:after="0" w:afterAutospacing="0"/>
              <w:jc w:val="both"/>
              <w:rPr>
                <w:rFonts w:cs="Arial"/>
                <w:szCs w:val="18"/>
              </w:rPr>
            </w:pPr>
            <w:r w:rsidRPr="00A5045C">
              <w:rPr>
                <w:rFonts w:cs="Arial"/>
                <w:szCs w:val="18"/>
              </w:rPr>
              <w:t xml:space="preserve">c) L’émetteur de </w:t>
            </w:r>
            <w:r>
              <w:rPr>
                <w:rFonts w:cs="Arial"/>
                <w:szCs w:val="18"/>
              </w:rPr>
              <w:t>TSPD/IPS</w:t>
            </w:r>
            <w:r w:rsidRPr="00A5045C">
              <w:rPr>
                <w:rFonts w:cs="Arial"/>
                <w:szCs w:val="18"/>
              </w:rPr>
              <w:t xml:space="preserve"> doit mettre à disposition de ses utilisateurs une procédure compréhensible à suivre en cas de perte ou vol de son équipement de paiement et en cas de détection d’utilisation abusive ou frauduleuse. En complément du système de détection en place (cf. 8.1), l’émetteur de </w:t>
            </w:r>
            <w:r>
              <w:rPr>
                <w:rFonts w:cs="Arial"/>
                <w:szCs w:val="18"/>
              </w:rPr>
              <w:t>TSPD/IPS</w:t>
            </w:r>
            <w:r w:rsidRPr="00A5045C">
              <w:rPr>
                <w:rFonts w:cs="Arial"/>
                <w:szCs w:val="18"/>
              </w:rPr>
              <w:t xml:space="preserve"> doit indiquer à ses utilisateurs la manière dont ils peuvent être notifiés concernant les opérations soupçonnées d’être frauduleuses.</w:t>
            </w:r>
          </w:p>
        </w:tc>
        <w:tc>
          <w:tcPr>
            <w:tcW w:w="1350" w:type="dxa"/>
            <w:gridSpan w:val="2"/>
            <w:vMerge/>
            <w:tcBorders>
              <w:top w:val="nil"/>
              <w:left w:val="single" w:sz="4" w:space="0" w:color="0070C0"/>
              <w:bottom w:val="single" w:sz="4" w:space="0" w:color="000000"/>
              <w:right w:val="single" w:sz="4" w:space="0" w:color="0070C0"/>
            </w:tcBorders>
            <w:shd w:val="clear" w:color="auto" w:fill="FFC000"/>
            <w:vAlign w:val="center"/>
            <w:hideMark/>
          </w:tcPr>
          <w:p w14:paraId="43383A4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nil"/>
              <w:left w:val="single" w:sz="4" w:space="0" w:color="0070C0"/>
              <w:bottom w:val="single" w:sz="4" w:space="0" w:color="000000"/>
              <w:right w:val="single" w:sz="4" w:space="0" w:color="0070C0"/>
            </w:tcBorders>
            <w:shd w:val="clear" w:color="auto" w:fill="FFC000"/>
            <w:vAlign w:val="center"/>
            <w:hideMark/>
          </w:tcPr>
          <w:p w14:paraId="5F200564" w14:textId="77777777" w:rsidR="00545AF2" w:rsidRPr="00A5045C" w:rsidRDefault="00545AF2" w:rsidP="00545AF2">
            <w:pPr>
              <w:spacing w:before="0" w:beforeAutospacing="0" w:after="0" w:afterAutospacing="0"/>
              <w:rPr>
                <w:rFonts w:cs="Arial"/>
                <w:szCs w:val="18"/>
              </w:rPr>
            </w:pPr>
          </w:p>
        </w:tc>
      </w:tr>
    </w:tbl>
    <w:p w14:paraId="26473D18" w14:textId="77777777" w:rsidR="0002430F" w:rsidRPr="001929A0" w:rsidRDefault="0002430F" w:rsidP="00C72580">
      <w:pPr>
        <w:jc w:val="both"/>
        <w:rPr>
          <w:rFonts w:cs="Arial"/>
          <w:bCs/>
          <w:sz w:val="20"/>
        </w:rPr>
      </w:pPr>
    </w:p>
    <w:p w14:paraId="5D40AD69" w14:textId="3A631191" w:rsidR="003E1DAA" w:rsidRPr="00CD68D9" w:rsidRDefault="003E1DAA" w:rsidP="00311261">
      <w:pPr>
        <w:rPr>
          <w:lang w:eastAsia="en-US"/>
        </w:rPr>
      </w:pPr>
    </w:p>
    <w:sectPr w:rsidR="003E1DAA" w:rsidRPr="00CD68D9" w:rsidSect="00003820">
      <w:headerReference w:type="default" r:id="rId13"/>
      <w:footerReference w:type="default" r:id="rId14"/>
      <w:headerReference w:type="first" r:id="rId15"/>
      <w:footerReference w:type="first" r:id="rId16"/>
      <w:pgSz w:w="16838" w:h="23811" w:code="8"/>
      <w:pgMar w:top="1134" w:right="1134" w:bottom="113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BC66" w14:textId="77777777" w:rsidR="00B674EE" w:rsidRDefault="00B674EE" w:rsidP="00D000F1">
      <w:r>
        <w:separator/>
      </w:r>
    </w:p>
  </w:endnote>
  <w:endnote w:type="continuationSeparator" w:id="0">
    <w:p w14:paraId="6FD8AE42" w14:textId="77777777" w:rsidR="00B674EE" w:rsidRDefault="00B674EE" w:rsidP="00D000F1">
      <w:r>
        <w:continuationSeparator/>
      </w:r>
    </w:p>
  </w:endnote>
  <w:endnote w:type="continuationNotice" w:id="1">
    <w:p w14:paraId="72381AE0" w14:textId="77777777" w:rsidR="00B674EE" w:rsidRDefault="00B674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C47E" w14:textId="77777777" w:rsidR="00B674EE" w:rsidRDefault="00B674EE" w:rsidP="00391913">
    <w:pPr>
      <w:pStyle w:val="Pieddepage"/>
      <w:pBdr>
        <w:top w:val="single" w:sz="4" w:space="1" w:color="auto"/>
      </w:pBdr>
      <w:tabs>
        <w:tab w:val="right" w:pos="9781"/>
      </w:tabs>
      <w:spacing w:before="0" w:beforeAutospacing="0" w:after="0" w:afterAutospacing="0"/>
      <w:rPr>
        <w:sz w:val="16"/>
        <w:szCs w:val="16"/>
      </w:rPr>
    </w:pPr>
    <w:r>
      <w:rPr>
        <w:sz w:val="16"/>
        <w:szCs w:val="16"/>
      </w:rPr>
      <w:t xml:space="preserve">TSPD, IPS et CESU Collecte Activité, fraude et évolution sécurité &amp; </w:t>
    </w:r>
  </w:p>
  <w:p w14:paraId="4212F85E" w14:textId="6D24D072" w:rsidR="00B674EE" w:rsidRPr="004A2A3D" w:rsidRDefault="00B674EE" w:rsidP="00391913">
    <w:pPr>
      <w:pStyle w:val="Pieddepage"/>
      <w:pBdr>
        <w:top w:val="single" w:sz="4" w:space="1" w:color="auto"/>
      </w:pBdr>
      <w:tabs>
        <w:tab w:val="right" w:pos="9781"/>
      </w:tabs>
      <w:spacing w:before="0" w:beforeAutospacing="0" w:after="0" w:afterAutospacing="0"/>
      <w:rPr>
        <w:rFonts w:cs="Arial"/>
        <w:sz w:val="16"/>
        <w:szCs w:val="16"/>
      </w:rPr>
    </w:pPr>
    <w:proofErr w:type="gramStart"/>
    <w:r>
      <w:rPr>
        <w:sz w:val="16"/>
        <w:szCs w:val="16"/>
      </w:rPr>
      <w:t>Auto évaluation</w:t>
    </w:r>
    <w:proofErr w:type="gramEnd"/>
    <w:r>
      <w:rPr>
        <w:sz w:val="16"/>
        <w:szCs w:val="16"/>
      </w:rPr>
      <w:t xml:space="preserve"> objectifs de sécurité</w:t>
    </w:r>
    <w:r w:rsidRPr="004A2A3D">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Pr>
        <w:rStyle w:val="PieddepageCar"/>
        <w:rFonts w:ascii="Arial" w:hAnsi="Arial" w:cs="Arial"/>
        <w:sz w:val="16"/>
        <w:szCs w:val="16"/>
      </w:rPr>
      <w:tab/>
    </w:r>
    <w:r w:rsidRPr="004A2A3D">
      <w:rPr>
        <w:rStyle w:val="PieddepageCar"/>
        <w:rFonts w:ascii="Arial" w:hAnsi="Arial" w:cs="Arial"/>
        <w:sz w:val="16"/>
        <w:szCs w:val="16"/>
      </w:rPr>
      <w:tab/>
      <w:t>Page</w:t>
    </w:r>
    <w:r w:rsidRPr="004A2A3D">
      <w:rPr>
        <w:rFonts w:cs="Arial"/>
        <w:snapToGrid w:val="0"/>
        <w:sz w:val="16"/>
        <w:szCs w:val="16"/>
      </w:rPr>
      <w:t xml:space="preserve"> </w:t>
    </w:r>
    <w:r w:rsidRPr="004A2A3D">
      <w:rPr>
        <w:rStyle w:val="Numrodepage"/>
        <w:rFonts w:cs="Arial"/>
        <w:sz w:val="16"/>
        <w:szCs w:val="16"/>
      </w:rPr>
      <w:fldChar w:fldCharType="begin"/>
    </w:r>
    <w:r w:rsidRPr="004A2A3D">
      <w:rPr>
        <w:rStyle w:val="Numrodepage"/>
        <w:rFonts w:cs="Arial"/>
        <w:sz w:val="16"/>
        <w:szCs w:val="16"/>
      </w:rPr>
      <w:instrText xml:space="preserve"> PAGE </w:instrText>
    </w:r>
    <w:r w:rsidRPr="004A2A3D">
      <w:rPr>
        <w:rStyle w:val="Numrodepage"/>
        <w:rFonts w:cs="Arial"/>
        <w:sz w:val="16"/>
        <w:szCs w:val="16"/>
      </w:rPr>
      <w:fldChar w:fldCharType="separate"/>
    </w:r>
    <w:r w:rsidR="00A81390">
      <w:rPr>
        <w:rStyle w:val="Numrodepage"/>
        <w:rFonts w:cs="Arial"/>
        <w:noProof/>
        <w:sz w:val="16"/>
        <w:szCs w:val="16"/>
      </w:rPr>
      <w:t>7</w:t>
    </w:r>
    <w:r w:rsidRPr="004A2A3D">
      <w:rPr>
        <w:rStyle w:val="Numrodepage"/>
        <w:rFonts w:cs="Arial"/>
        <w:sz w:val="16"/>
        <w:szCs w:val="16"/>
      </w:rPr>
      <w:fldChar w:fldCharType="end"/>
    </w:r>
    <w:r w:rsidRPr="004A2A3D">
      <w:rPr>
        <w:rStyle w:val="Numrodepage"/>
        <w:rFonts w:cs="Arial"/>
        <w:sz w:val="16"/>
        <w:szCs w:val="16"/>
      </w:rPr>
      <w:t>/</w:t>
    </w:r>
    <w:r w:rsidRPr="004A2A3D">
      <w:rPr>
        <w:rStyle w:val="Numrodepage"/>
        <w:rFonts w:cs="Arial"/>
        <w:sz w:val="16"/>
        <w:szCs w:val="16"/>
      </w:rPr>
      <w:fldChar w:fldCharType="begin"/>
    </w:r>
    <w:r w:rsidRPr="004A2A3D">
      <w:rPr>
        <w:rStyle w:val="Numrodepage"/>
        <w:rFonts w:cs="Arial"/>
        <w:sz w:val="16"/>
        <w:szCs w:val="16"/>
      </w:rPr>
      <w:instrText xml:space="preserve"> NUMPAGES </w:instrText>
    </w:r>
    <w:r w:rsidRPr="004A2A3D">
      <w:rPr>
        <w:rStyle w:val="Numrodepage"/>
        <w:rFonts w:cs="Arial"/>
        <w:sz w:val="16"/>
        <w:szCs w:val="16"/>
      </w:rPr>
      <w:fldChar w:fldCharType="separate"/>
    </w:r>
    <w:r w:rsidR="00A81390">
      <w:rPr>
        <w:rStyle w:val="Numrodepage"/>
        <w:rFonts w:cs="Arial"/>
        <w:noProof/>
        <w:sz w:val="16"/>
        <w:szCs w:val="16"/>
      </w:rPr>
      <w:t>7</w:t>
    </w:r>
    <w:r w:rsidRPr="004A2A3D">
      <w:rPr>
        <w:rStyle w:val="Numrodepage"/>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B8E" w14:textId="7D5F6F65" w:rsidR="00B674EE" w:rsidRPr="00B674EE" w:rsidRDefault="00B674EE" w:rsidP="004A2A3D">
    <w:pPr>
      <w:pStyle w:val="Pieddepage"/>
      <w:pBdr>
        <w:top w:val="single" w:sz="4" w:space="1" w:color="auto"/>
      </w:pBdr>
      <w:tabs>
        <w:tab w:val="right" w:pos="9781"/>
      </w:tabs>
      <w:spacing w:before="0" w:beforeAutospacing="0" w:after="0" w:afterAutospacing="0"/>
      <w:rPr>
        <w:sz w:val="16"/>
        <w:szCs w:val="16"/>
      </w:rPr>
    </w:pPr>
    <w:r>
      <w:rPr>
        <w:sz w:val="16"/>
        <w:szCs w:val="16"/>
      </w:rPr>
      <w:t xml:space="preserve">TSPD, IPS et CESU Collecte 2023 </w:t>
    </w:r>
    <w:proofErr w:type="gramStart"/>
    <w:r>
      <w:rPr>
        <w:sz w:val="16"/>
        <w:szCs w:val="16"/>
      </w:rPr>
      <w:t>Auto évaluation</w:t>
    </w:r>
    <w:proofErr w:type="gramEnd"/>
    <w:r>
      <w:rPr>
        <w:sz w:val="16"/>
        <w:szCs w:val="16"/>
      </w:rPr>
      <w:t xml:space="preserve"> des objectifs de sécurité</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A2A3D">
      <w:rPr>
        <w:rStyle w:val="PieddepageCar"/>
        <w:rFonts w:ascii="Arial" w:hAnsi="Arial" w:cs="Arial"/>
        <w:sz w:val="16"/>
        <w:szCs w:val="16"/>
      </w:rPr>
      <w:t>Page</w:t>
    </w:r>
    <w:r w:rsidRPr="004A2A3D">
      <w:rPr>
        <w:rFonts w:cs="Arial"/>
        <w:snapToGrid w:val="0"/>
        <w:sz w:val="16"/>
        <w:szCs w:val="16"/>
      </w:rPr>
      <w:t xml:space="preserve"> </w:t>
    </w:r>
    <w:r w:rsidRPr="004A2A3D">
      <w:rPr>
        <w:rStyle w:val="Numrodepage"/>
        <w:rFonts w:cs="Arial"/>
        <w:sz w:val="16"/>
        <w:szCs w:val="16"/>
      </w:rPr>
      <w:fldChar w:fldCharType="begin"/>
    </w:r>
    <w:r w:rsidRPr="004A2A3D">
      <w:rPr>
        <w:rStyle w:val="Numrodepage"/>
        <w:rFonts w:cs="Arial"/>
        <w:sz w:val="16"/>
        <w:szCs w:val="16"/>
      </w:rPr>
      <w:instrText xml:space="preserve"> PAGE </w:instrText>
    </w:r>
    <w:r w:rsidRPr="004A2A3D">
      <w:rPr>
        <w:rStyle w:val="Numrodepage"/>
        <w:rFonts w:cs="Arial"/>
        <w:sz w:val="16"/>
        <w:szCs w:val="16"/>
      </w:rPr>
      <w:fldChar w:fldCharType="separate"/>
    </w:r>
    <w:r w:rsidR="00A81390">
      <w:rPr>
        <w:rStyle w:val="Numrodepage"/>
        <w:rFonts w:cs="Arial"/>
        <w:noProof/>
        <w:sz w:val="16"/>
        <w:szCs w:val="16"/>
      </w:rPr>
      <w:t>1</w:t>
    </w:r>
    <w:r w:rsidRPr="004A2A3D">
      <w:rPr>
        <w:rStyle w:val="Numrodepage"/>
        <w:rFonts w:cs="Arial"/>
        <w:sz w:val="16"/>
        <w:szCs w:val="16"/>
      </w:rPr>
      <w:fldChar w:fldCharType="end"/>
    </w:r>
    <w:r w:rsidRPr="004A2A3D">
      <w:rPr>
        <w:rStyle w:val="Numrodepage"/>
        <w:rFonts w:cs="Arial"/>
        <w:sz w:val="16"/>
        <w:szCs w:val="16"/>
      </w:rPr>
      <w:t>/</w:t>
    </w:r>
    <w:r w:rsidRPr="004A2A3D">
      <w:rPr>
        <w:rStyle w:val="Numrodepage"/>
        <w:rFonts w:cs="Arial"/>
        <w:sz w:val="16"/>
        <w:szCs w:val="16"/>
      </w:rPr>
      <w:fldChar w:fldCharType="begin"/>
    </w:r>
    <w:r w:rsidRPr="004A2A3D">
      <w:rPr>
        <w:rStyle w:val="Numrodepage"/>
        <w:rFonts w:cs="Arial"/>
        <w:sz w:val="16"/>
        <w:szCs w:val="16"/>
      </w:rPr>
      <w:instrText xml:space="preserve"> NUMPAGES </w:instrText>
    </w:r>
    <w:r w:rsidRPr="004A2A3D">
      <w:rPr>
        <w:rStyle w:val="Numrodepage"/>
        <w:rFonts w:cs="Arial"/>
        <w:sz w:val="16"/>
        <w:szCs w:val="16"/>
      </w:rPr>
      <w:fldChar w:fldCharType="separate"/>
    </w:r>
    <w:r w:rsidR="00A81390">
      <w:rPr>
        <w:rStyle w:val="Numrodepage"/>
        <w:rFonts w:cs="Arial"/>
        <w:noProof/>
        <w:sz w:val="16"/>
        <w:szCs w:val="16"/>
      </w:rPr>
      <w:t>7</w:t>
    </w:r>
    <w:r w:rsidRPr="004A2A3D">
      <w:rPr>
        <w:rStyle w:val="Numrodepage"/>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E090" w14:textId="77777777" w:rsidR="00B674EE" w:rsidRDefault="00B674EE" w:rsidP="00D000F1">
      <w:r>
        <w:separator/>
      </w:r>
    </w:p>
  </w:footnote>
  <w:footnote w:type="continuationSeparator" w:id="0">
    <w:p w14:paraId="2D4D786E" w14:textId="77777777" w:rsidR="00B674EE" w:rsidRDefault="00B674EE" w:rsidP="00D000F1">
      <w:r>
        <w:continuationSeparator/>
      </w:r>
    </w:p>
  </w:footnote>
  <w:footnote w:type="continuationNotice" w:id="1">
    <w:p w14:paraId="1869FF57" w14:textId="77777777" w:rsidR="00B674EE" w:rsidRDefault="00B674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4D9F" w14:textId="469313D2" w:rsidR="00B674EE" w:rsidRPr="004A2A3D" w:rsidRDefault="00B674EE" w:rsidP="004A2A3D">
    <w:pPr>
      <w:pStyle w:val="En-tte"/>
      <w:pBdr>
        <w:bottom w:val="single" w:sz="4" w:space="1" w:color="auto"/>
      </w:pBdr>
      <w:rPr>
        <w:sz w:val="16"/>
        <w:szCs w:val="16"/>
      </w:rPr>
    </w:pPr>
    <w:r>
      <w:rPr>
        <w:rFonts w:cs="Arial"/>
        <w:sz w:val="16"/>
        <w:szCs w:val="16"/>
      </w:rPr>
      <w:t>INSTITUT D’EMISSION D’OUTRE MER</w:t>
    </w:r>
    <w:r w:rsidRPr="004A2A3D">
      <w:rPr>
        <w:rFonts w:cs="Arial"/>
        <w:sz w:val="16"/>
        <w:szCs w:val="16"/>
      </w:rPr>
      <w:ptab w:relativeTo="margin" w:alignment="center" w:leader="none"/>
    </w:r>
    <w:r w:rsidRPr="004A2A3D">
      <w:rPr>
        <w:rFonts w:cs="Arial"/>
        <w:sz w:val="16"/>
        <w:szCs w:val="1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7226" w14:textId="5379F469" w:rsidR="00B674EE" w:rsidRPr="005B695E" w:rsidRDefault="00B674EE" w:rsidP="005B695E">
    <w:pPr>
      <w:pStyle w:val="En-tte"/>
      <w:pBdr>
        <w:bottom w:val="single" w:sz="4" w:space="1" w:color="auto"/>
      </w:pBdr>
      <w:rPr>
        <w:sz w:val="16"/>
        <w:szCs w:val="16"/>
      </w:rPr>
    </w:pPr>
    <w:r>
      <w:rPr>
        <w:rFonts w:cs="Arial"/>
        <w:sz w:val="16"/>
        <w:szCs w:val="16"/>
      </w:rPr>
      <w:t>IEOM</w:t>
    </w:r>
    <w:r w:rsidRPr="004A2A3D">
      <w:rPr>
        <w:rFonts w:cs="Arial"/>
        <w:sz w:val="16"/>
        <w:szCs w:val="16"/>
      </w:rPr>
      <w:ptab w:relativeTo="margin" w:alignment="center" w:leader="none"/>
    </w:r>
    <w:r w:rsidRPr="004A2A3D">
      <w:rPr>
        <w:rFonts w:cs="Arial"/>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2"/>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90898"/>
    <w:multiLevelType w:val="hybridMultilevel"/>
    <w:tmpl w:val="D6BE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C218AB"/>
    <w:multiLevelType w:val="hybridMultilevel"/>
    <w:tmpl w:val="06183508"/>
    <w:lvl w:ilvl="0" w:tplc="FB82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0F401F"/>
    <w:multiLevelType w:val="hybridMultilevel"/>
    <w:tmpl w:val="0F7EBFC8"/>
    <w:lvl w:ilvl="0" w:tplc="599A01A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FF0A2C"/>
    <w:multiLevelType w:val="hybridMultilevel"/>
    <w:tmpl w:val="337EF4F6"/>
    <w:lvl w:ilvl="0" w:tplc="9E06DDE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A2E13"/>
    <w:multiLevelType w:val="hybridMultilevel"/>
    <w:tmpl w:val="F9C0F7F8"/>
    <w:lvl w:ilvl="0" w:tplc="DCE255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F36BEB"/>
    <w:multiLevelType w:val="hybridMultilevel"/>
    <w:tmpl w:val="D13C830C"/>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45B1576F"/>
    <w:multiLevelType w:val="multilevel"/>
    <w:tmpl w:val="827C6166"/>
    <w:lvl w:ilvl="0">
      <w:start w:val="1"/>
      <w:numFmt w:val="decimal"/>
      <w:pStyle w:val="Titre1"/>
      <w:lvlText w:val="%1"/>
      <w:lvlJc w:val="left"/>
      <w:pPr>
        <w:ind w:left="432" w:hanging="432"/>
      </w:pPr>
    </w:lvl>
    <w:lvl w:ilvl="1">
      <w:start w:val="1"/>
      <w:numFmt w:val="decimal"/>
      <w:pStyle w:val="Titre2"/>
      <w:lvlText w:val="%1.%2"/>
      <w:lvlJc w:val="left"/>
      <w:pPr>
        <w:ind w:left="3128" w:hanging="576"/>
      </w:pPr>
      <w:rPr>
        <w:b/>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color w:val="auto"/>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5228014E"/>
    <w:multiLevelType w:val="hybridMultilevel"/>
    <w:tmpl w:val="8BE8D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FC45AD"/>
    <w:multiLevelType w:val="hybridMultilevel"/>
    <w:tmpl w:val="8FAC5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AC4A45"/>
    <w:multiLevelType w:val="hybridMultilevel"/>
    <w:tmpl w:val="EFF0898E"/>
    <w:lvl w:ilvl="0" w:tplc="EA08C9C2">
      <w:numFmt w:val="bullet"/>
      <w:lvlText w:val="-"/>
      <w:lvlJc w:val="left"/>
      <w:pPr>
        <w:ind w:left="720" w:hanging="360"/>
      </w:pPr>
      <w:rPr>
        <w:rFonts w:ascii="Times New Roman" w:eastAsia="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C61144"/>
    <w:multiLevelType w:val="hybridMultilevel"/>
    <w:tmpl w:val="5F48E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3394063">
    <w:abstractNumId w:val="0"/>
  </w:num>
  <w:num w:numId="2" w16cid:durableId="1340814967">
    <w:abstractNumId w:val="10"/>
  </w:num>
  <w:num w:numId="3" w16cid:durableId="233661515">
    <w:abstractNumId w:val="7"/>
  </w:num>
  <w:num w:numId="4" w16cid:durableId="817380985">
    <w:abstractNumId w:val="6"/>
  </w:num>
  <w:num w:numId="5" w16cid:durableId="1902665968">
    <w:abstractNumId w:val="8"/>
  </w:num>
  <w:num w:numId="6" w16cid:durableId="1457331713">
    <w:abstractNumId w:val="2"/>
  </w:num>
  <w:num w:numId="7" w16cid:durableId="866874965">
    <w:abstractNumId w:val="5"/>
  </w:num>
  <w:num w:numId="8" w16cid:durableId="1576360306">
    <w:abstractNumId w:val="4"/>
  </w:num>
  <w:num w:numId="9" w16cid:durableId="1634798045">
    <w:abstractNumId w:val="3"/>
  </w:num>
  <w:num w:numId="10" w16cid:durableId="420566751">
    <w:abstractNumId w:val="7"/>
  </w:num>
  <w:num w:numId="11" w16cid:durableId="1729960118">
    <w:abstractNumId w:val="7"/>
  </w:num>
  <w:num w:numId="12" w16cid:durableId="1805342482">
    <w:abstractNumId w:val="7"/>
  </w:num>
  <w:num w:numId="13" w16cid:durableId="1957327972">
    <w:abstractNumId w:val="1"/>
  </w:num>
  <w:num w:numId="14" w16cid:durableId="2033872686">
    <w:abstractNumId w:val="11"/>
  </w:num>
  <w:num w:numId="15" w16cid:durableId="6850606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69"/>
    <w:rsid w:val="00000B95"/>
    <w:rsid w:val="00001AF8"/>
    <w:rsid w:val="0000244D"/>
    <w:rsid w:val="00002D2C"/>
    <w:rsid w:val="00003820"/>
    <w:rsid w:val="000050A9"/>
    <w:rsid w:val="00005A25"/>
    <w:rsid w:val="00007C4E"/>
    <w:rsid w:val="00007D0E"/>
    <w:rsid w:val="000100B6"/>
    <w:rsid w:val="0001168A"/>
    <w:rsid w:val="00012094"/>
    <w:rsid w:val="00014B90"/>
    <w:rsid w:val="00015588"/>
    <w:rsid w:val="00015DDF"/>
    <w:rsid w:val="00015E0D"/>
    <w:rsid w:val="000176A4"/>
    <w:rsid w:val="00017C08"/>
    <w:rsid w:val="00017EBB"/>
    <w:rsid w:val="00020572"/>
    <w:rsid w:val="00020697"/>
    <w:rsid w:val="00020B21"/>
    <w:rsid w:val="0002394D"/>
    <w:rsid w:val="0002430F"/>
    <w:rsid w:val="00024C53"/>
    <w:rsid w:val="000265C4"/>
    <w:rsid w:val="000273E6"/>
    <w:rsid w:val="0003137E"/>
    <w:rsid w:val="000317A8"/>
    <w:rsid w:val="00032655"/>
    <w:rsid w:val="00032BD2"/>
    <w:rsid w:val="00035408"/>
    <w:rsid w:val="000410BE"/>
    <w:rsid w:val="00042B6A"/>
    <w:rsid w:val="00043199"/>
    <w:rsid w:val="00043DC2"/>
    <w:rsid w:val="000453F5"/>
    <w:rsid w:val="000468F8"/>
    <w:rsid w:val="00046C07"/>
    <w:rsid w:val="00047B80"/>
    <w:rsid w:val="00053350"/>
    <w:rsid w:val="00054095"/>
    <w:rsid w:val="00054946"/>
    <w:rsid w:val="000555FF"/>
    <w:rsid w:val="00055785"/>
    <w:rsid w:val="00056645"/>
    <w:rsid w:val="00057258"/>
    <w:rsid w:val="000601FB"/>
    <w:rsid w:val="00060306"/>
    <w:rsid w:val="0006168E"/>
    <w:rsid w:val="000636D8"/>
    <w:rsid w:val="000655D8"/>
    <w:rsid w:val="0006619F"/>
    <w:rsid w:val="000662AC"/>
    <w:rsid w:val="0006647E"/>
    <w:rsid w:val="0006685B"/>
    <w:rsid w:val="00072D45"/>
    <w:rsid w:val="000734CB"/>
    <w:rsid w:val="00073DA2"/>
    <w:rsid w:val="000747D2"/>
    <w:rsid w:val="00075260"/>
    <w:rsid w:val="000778B4"/>
    <w:rsid w:val="000823CF"/>
    <w:rsid w:val="00084C4D"/>
    <w:rsid w:val="000862E6"/>
    <w:rsid w:val="00093FA9"/>
    <w:rsid w:val="00095111"/>
    <w:rsid w:val="000957F9"/>
    <w:rsid w:val="00096CC0"/>
    <w:rsid w:val="00096D20"/>
    <w:rsid w:val="000A0718"/>
    <w:rsid w:val="000A0CCD"/>
    <w:rsid w:val="000A2243"/>
    <w:rsid w:val="000A2F5E"/>
    <w:rsid w:val="000A353A"/>
    <w:rsid w:val="000A3FF2"/>
    <w:rsid w:val="000A688F"/>
    <w:rsid w:val="000A6F91"/>
    <w:rsid w:val="000A7E81"/>
    <w:rsid w:val="000A7F5B"/>
    <w:rsid w:val="000B00DC"/>
    <w:rsid w:val="000B07B0"/>
    <w:rsid w:val="000B209E"/>
    <w:rsid w:val="000B2713"/>
    <w:rsid w:val="000B2970"/>
    <w:rsid w:val="000B3C4B"/>
    <w:rsid w:val="000B4308"/>
    <w:rsid w:val="000B546F"/>
    <w:rsid w:val="000B6A21"/>
    <w:rsid w:val="000B776A"/>
    <w:rsid w:val="000C03A5"/>
    <w:rsid w:val="000C0538"/>
    <w:rsid w:val="000C38B5"/>
    <w:rsid w:val="000C3C08"/>
    <w:rsid w:val="000C4017"/>
    <w:rsid w:val="000C42CF"/>
    <w:rsid w:val="000C7BEF"/>
    <w:rsid w:val="000D10B8"/>
    <w:rsid w:val="000D4F57"/>
    <w:rsid w:val="000D50E8"/>
    <w:rsid w:val="000D50EE"/>
    <w:rsid w:val="000D7161"/>
    <w:rsid w:val="000D748B"/>
    <w:rsid w:val="000E13C2"/>
    <w:rsid w:val="000E147E"/>
    <w:rsid w:val="000E17F2"/>
    <w:rsid w:val="000E293E"/>
    <w:rsid w:val="000F2782"/>
    <w:rsid w:val="000F2ED3"/>
    <w:rsid w:val="000F438D"/>
    <w:rsid w:val="000F514D"/>
    <w:rsid w:val="000F6D65"/>
    <w:rsid w:val="00100E3C"/>
    <w:rsid w:val="00101453"/>
    <w:rsid w:val="0010241B"/>
    <w:rsid w:val="00102AE1"/>
    <w:rsid w:val="001032AC"/>
    <w:rsid w:val="00103EBC"/>
    <w:rsid w:val="00103F75"/>
    <w:rsid w:val="001058E5"/>
    <w:rsid w:val="00106250"/>
    <w:rsid w:val="0010718E"/>
    <w:rsid w:val="00107A02"/>
    <w:rsid w:val="00107E24"/>
    <w:rsid w:val="00107EF4"/>
    <w:rsid w:val="00110E0A"/>
    <w:rsid w:val="0011190B"/>
    <w:rsid w:val="001148E2"/>
    <w:rsid w:val="00116AC5"/>
    <w:rsid w:val="00116CEB"/>
    <w:rsid w:val="00117086"/>
    <w:rsid w:val="0011716F"/>
    <w:rsid w:val="00120378"/>
    <w:rsid w:val="00120DFF"/>
    <w:rsid w:val="00125AAC"/>
    <w:rsid w:val="00125DC0"/>
    <w:rsid w:val="00127DE6"/>
    <w:rsid w:val="00130A2D"/>
    <w:rsid w:val="00131699"/>
    <w:rsid w:val="001328F8"/>
    <w:rsid w:val="00132ECE"/>
    <w:rsid w:val="0013320C"/>
    <w:rsid w:val="00134890"/>
    <w:rsid w:val="00135078"/>
    <w:rsid w:val="00136278"/>
    <w:rsid w:val="00142BC3"/>
    <w:rsid w:val="00143D0A"/>
    <w:rsid w:val="001457E0"/>
    <w:rsid w:val="00146FAC"/>
    <w:rsid w:val="0015045C"/>
    <w:rsid w:val="0015097C"/>
    <w:rsid w:val="00150D1C"/>
    <w:rsid w:val="001511DA"/>
    <w:rsid w:val="001514B9"/>
    <w:rsid w:val="00151D91"/>
    <w:rsid w:val="00152C46"/>
    <w:rsid w:val="0015325E"/>
    <w:rsid w:val="001544D7"/>
    <w:rsid w:val="00154B7A"/>
    <w:rsid w:val="00162B3F"/>
    <w:rsid w:val="001639E4"/>
    <w:rsid w:val="00163D3D"/>
    <w:rsid w:val="00163D84"/>
    <w:rsid w:val="0017146A"/>
    <w:rsid w:val="001722FD"/>
    <w:rsid w:val="001740FA"/>
    <w:rsid w:val="00180997"/>
    <w:rsid w:val="00180AF1"/>
    <w:rsid w:val="00182091"/>
    <w:rsid w:val="00182EE1"/>
    <w:rsid w:val="0018486C"/>
    <w:rsid w:val="00185285"/>
    <w:rsid w:val="001855AF"/>
    <w:rsid w:val="00185F1A"/>
    <w:rsid w:val="001867F8"/>
    <w:rsid w:val="00186FAF"/>
    <w:rsid w:val="001873DC"/>
    <w:rsid w:val="00187781"/>
    <w:rsid w:val="0019067D"/>
    <w:rsid w:val="0019211C"/>
    <w:rsid w:val="001921F0"/>
    <w:rsid w:val="001929A0"/>
    <w:rsid w:val="0019392A"/>
    <w:rsid w:val="001945C6"/>
    <w:rsid w:val="001A0624"/>
    <w:rsid w:val="001A0DB2"/>
    <w:rsid w:val="001A0E0E"/>
    <w:rsid w:val="001A16D1"/>
    <w:rsid w:val="001A3714"/>
    <w:rsid w:val="001A38D1"/>
    <w:rsid w:val="001A3C87"/>
    <w:rsid w:val="001A6BEE"/>
    <w:rsid w:val="001A796C"/>
    <w:rsid w:val="001B081A"/>
    <w:rsid w:val="001B0DF0"/>
    <w:rsid w:val="001B0F92"/>
    <w:rsid w:val="001B125C"/>
    <w:rsid w:val="001B2A08"/>
    <w:rsid w:val="001B2F93"/>
    <w:rsid w:val="001B363B"/>
    <w:rsid w:val="001B41F0"/>
    <w:rsid w:val="001B4479"/>
    <w:rsid w:val="001B4749"/>
    <w:rsid w:val="001B544D"/>
    <w:rsid w:val="001B5671"/>
    <w:rsid w:val="001B5D8A"/>
    <w:rsid w:val="001B625C"/>
    <w:rsid w:val="001B7D00"/>
    <w:rsid w:val="001C0151"/>
    <w:rsid w:val="001C0C1C"/>
    <w:rsid w:val="001C0D9D"/>
    <w:rsid w:val="001C1148"/>
    <w:rsid w:val="001C1809"/>
    <w:rsid w:val="001C2376"/>
    <w:rsid w:val="001C3453"/>
    <w:rsid w:val="001C4FA5"/>
    <w:rsid w:val="001C5B4C"/>
    <w:rsid w:val="001C7DA6"/>
    <w:rsid w:val="001D04A8"/>
    <w:rsid w:val="001D1D6F"/>
    <w:rsid w:val="001D35D6"/>
    <w:rsid w:val="001D5B4C"/>
    <w:rsid w:val="001D5C81"/>
    <w:rsid w:val="001D6227"/>
    <w:rsid w:val="001D77EC"/>
    <w:rsid w:val="001E0186"/>
    <w:rsid w:val="001E0445"/>
    <w:rsid w:val="001E19C2"/>
    <w:rsid w:val="001E249F"/>
    <w:rsid w:val="001E29C3"/>
    <w:rsid w:val="001E2F25"/>
    <w:rsid w:val="001E44A6"/>
    <w:rsid w:val="001E535F"/>
    <w:rsid w:val="001E633A"/>
    <w:rsid w:val="001F0E80"/>
    <w:rsid w:val="001F2727"/>
    <w:rsid w:val="001F27C4"/>
    <w:rsid w:val="001F36D2"/>
    <w:rsid w:val="001F3FD0"/>
    <w:rsid w:val="001F5213"/>
    <w:rsid w:val="001F548D"/>
    <w:rsid w:val="00202798"/>
    <w:rsid w:val="0020647B"/>
    <w:rsid w:val="002073D2"/>
    <w:rsid w:val="00212953"/>
    <w:rsid w:val="00214339"/>
    <w:rsid w:val="002177C0"/>
    <w:rsid w:val="00217D36"/>
    <w:rsid w:val="002226E1"/>
    <w:rsid w:val="00223898"/>
    <w:rsid w:val="00223A4B"/>
    <w:rsid w:val="00223B27"/>
    <w:rsid w:val="00223C3D"/>
    <w:rsid w:val="002261B6"/>
    <w:rsid w:val="00226B31"/>
    <w:rsid w:val="00226BF1"/>
    <w:rsid w:val="00233665"/>
    <w:rsid w:val="00234F78"/>
    <w:rsid w:val="00234FAA"/>
    <w:rsid w:val="00240591"/>
    <w:rsid w:val="002406A1"/>
    <w:rsid w:val="0024075D"/>
    <w:rsid w:val="002416AA"/>
    <w:rsid w:val="00243522"/>
    <w:rsid w:val="00243812"/>
    <w:rsid w:val="00243F37"/>
    <w:rsid w:val="00247693"/>
    <w:rsid w:val="002476C9"/>
    <w:rsid w:val="002528A0"/>
    <w:rsid w:val="00252D14"/>
    <w:rsid w:val="002530A1"/>
    <w:rsid w:val="0025364F"/>
    <w:rsid w:val="00253F2C"/>
    <w:rsid w:val="00254C1B"/>
    <w:rsid w:val="00255AE5"/>
    <w:rsid w:val="00255D58"/>
    <w:rsid w:val="00257F55"/>
    <w:rsid w:val="00260705"/>
    <w:rsid w:val="0026368E"/>
    <w:rsid w:val="00263C42"/>
    <w:rsid w:val="002656CE"/>
    <w:rsid w:val="002657A5"/>
    <w:rsid w:val="00265C6E"/>
    <w:rsid w:val="00271D6A"/>
    <w:rsid w:val="002731B9"/>
    <w:rsid w:val="00273D5F"/>
    <w:rsid w:val="00276888"/>
    <w:rsid w:val="00285BDC"/>
    <w:rsid w:val="002872C6"/>
    <w:rsid w:val="002904BC"/>
    <w:rsid w:val="00294952"/>
    <w:rsid w:val="00295DA7"/>
    <w:rsid w:val="002961A4"/>
    <w:rsid w:val="002962E2"/>
    <w:rsid w:val="00296B5B"/>
    <w:rsid w:val="002A00E3"/>
    <w:rsid w:val="002A0AAB"/>
    <w:rsid w:val="002A0C70"/>
    <w:rsid w:val="002A17EC"/>
    <w:rsid w:val="002A1AE5"/>
    <w:rsid w:val="002A5759"/>
    <w:rsid w:val="002A57B5"/>
    <w:rsid w:val="002B2D38"/>
    <w:rsid w:val="002B59DC"/>
    <w:rsid w:val="002B7356"/>
    <w:rsid w:val="002C0FDB"/>
    <w:rsid w:val="002C180E"/>
    <w:rsid w:val="002C2C4B"/>
    <w:rsid w:val="002C3C18"/>
    <w:rsid w:val="002C4BC7"/>
    <w:rsid w:val="002C540B"/>
    <w:rsid w:val="002C573C"/>
    <w:rsid w:val="002C60F3"/>
    <w:rsid w:val="002C67A7"/>
    <w:rsid w:val="002C7E33"/>
    <w:rsid w:val="002D24D5"/>
    <w:rsid w:val="002D263D"/>
    <w:rsid w:val="002D2A08"/>
    <w:rsid w:val="002D5E7D"/>
    <w:rsid w:val="002D620D"/>
    <w:rsid w:val="002D650B"/>
    <w:rsid w:val="002D6F08"/>
    <w:rsid w:val="002D7F8C"/>
    <w:rsid w:val="002D7FAE"/>
    <w:rsid w:val="002E2625"/>
    <w:rsid w:val="002E2B43"/>
    <w:rsid w:val="002E2B86"/>
    <w:rsid w:val="002E4812"/>
    <w:rsid w:val="002E59D2"/>
    <w:rsid w:val="002E60AE"/>
    <w:rsid w:val="002E64B1"/>
    <w:rsid w:val="002E6792"/>
    <w:rsid w:val="002F11E0"/>
    <w:rsid w:val="002F1AFA"/>
    <w:rsid w:val="002F1BBE"/>
    <w:rsid w:val="002F1C50"/>
    <w:rsid w:val="002F2985"/>
    <w:rsid w:val="002F36E3"/>
    <w:rsid w:val="002F728B"/>
    <w:rsid w:val="00303E2C"/>
    <w:rsid w:val="00304E8B"/>
    <w:rsid w:val="00311261"/>
    <w:rsid w:val="00312C34"/>
    <w:rsid w:val="00317F48"/>
    <w:rsid w:val="00320783"/>
    <w:rsid w:val="00320CD5"/>
    <w:rsid w:val="00322C71"/>
    <w:rsid w:val="003234AB"/>
    <w:rsid w:val="003250F7"/>
    <w:rsid w:val="00326779"/>
    <w:rsid w:val="003269AC"/>
    <w:rsid w:val="00331D2A"/>
    <w:rsid w:val="003324EF"/>
    <w:rsid w:val="00332CA0"/>
    <w:rsid w:val="00333C6B"/>
    <w:rsid w:val="0033432F"/>
    <w:rsid w:val="00336AA4"/>
    <w:rsid w:val="00336DBE"/>
    <w:rsid w:val="003420D1"/>
    <w:rsid w:val="00345649"/>
    <w:rsid w:val="0034565D"/>
    <w:rsid w:val="00345805"/>
    <w:rsid w:val="00345DA4"/>
    <w:rsid w:val="003467DA"/>
    <w:rsid w:val="00346CCE"/>
    <w:rsid w:val="00346DBA"/>
    <w:rsid w:val="00347A92"/>
    <w:rsid w:val="00350C52"/>
    <w:rsid w:val="00350CEA"/>
    <w:rsid w:val="003512A7"/>
    <w:rsid w:val="00351409"/>
    <w:rsid w:val="00351781"/>
    <w:rsid w:val="00352364"/>
    <w:rsid w:val="00355975"/>
    <w:rsid w:val="00356671"/>
    <w:rsid w:val="003566DA"/>
    <w:rsid w:val="0035737B"/>
    <w:rsid w:val="00357E37"/>
    <w:rsid w:val="00357EDE"/>
    <w:rsid w:val="0036186E"/>
    <w:rsid w:val="003633E7"/>
    <w:rsid w:val="00364FD6"/>
    <w:rsid w:val="00365F4F"/>
    <w:rsid w:val="00367328"/>
    <w:rsid w:val="0036752C"/>
    <w:rsid w:val="0037077E"/>
    <w:rsid w:val="00370911"/>
    <w:rsid w:val="0037255B"/>
    <w:rsid w:val="00373AB6"/>
    <w:rsid w:val="0037470D"/>
    <w:rsid w:val="003770F4"/>
    <w:rsid w:val="00380283"/>
    <w:rsid w:val="00380444"/>
    <w:rsid w:val="00380C05"/>
    <w:rsid w:val="003811B7"/>
    <w:rsid w:val="00382644"/>
    <w:rsid w:val="003827D6"/>
    <w:rsid w:val="00383607"/>
    <w:rsid w:val="003852F5"/>
    <w:rsid w:val="0038561F"/>
    <w:rsid w:val="00385799"/>
    <w:rsid w:val="0038682B"/>
    <w:rsid w:val="003869D4"/>
    <w:rsid w:val="00386A60"/>
    <w:rsid w:val="0039051E"/>
    <w:rsid w:val="00391913"/>
    <w:rsid w:val="00393524"/>
    <w:rsid w:val="00395CEA"/>
    <w:rsid w:val="003A1B1C"/>
    <w:rsid w:val="003A28E3"/>
    <w:rsid w:val="003A2BAE"/>
    <w:rsid w:val="003B1042"/>
    <w:rsid w:val="003B36F5"/>
    <w:rsid w:val="003B4F2E"/>
    <w:rsid w:val="003B50AA"/>
    <w:rsid w:val="003B5E5B"/>
    <w:rsid w:val="003B6950"/>
    <w:rsid w:val="003C16FE"/>
    <w:rsid w:val="003C1B8A"/>
    <w:rsid w:val="003C1F1E"/>
    <w:rsid w:val="003C2722"/>
    <w:rsid w:val="003C29C9"/>
    <w:rsid w:val="003C3E68"/>
    <w:rsid w:val="003C4106"/>
    <w:rsid w:val="003C44F1"/>
    <w:rsid w:val="003C45AB"/>
    <w:rsid w:val="003C6E7F"/>
    <w:rsid w:val="003C7D5F"/>
    <w:rsid w:val="003D0FC4"/>
    <w:rsid w:val="003D380F"/>
    <w:rsid w:val="003D58CB"/>
    <w:rsid w:val="003D75C8"/>
    <w:rsid w:val="003E1373"/>
    <w:rsid w:val="003E1DAA"/>
    <w:rsid w:val="003E3363"/>
    <w:rsid w:val="003E42E0"/>
    <w:rsid w:val="003E44ED"/>
    <w:rsid w:val="003E6ACD"/>
    <w:rsid w:val="003E7809"/>
    <w:rsid w:val="003F0631"/>
    <w:rsid w:val="003F07A9"/>
    <w:rsid w:val="003F7F4B"/>
    <w:rsid w:val="004015B4"/>
    <w:rsid w:val="00401B79"/>
    <w:rsid w:val="00402511"/>
    <w:rsid w:val="004026C7"/>
    <w:rsid w:val="004036E2"/>
    <w:rsid w:val="00404DE9"/>
    <w:rsid w:val="00405A0E"/>
    <w:rsid w:val="004063A1"/>
    <w:rsid w:val="004071AE"/>
    <w:rsid w:val="004105AE"/>
    <w:rsid w:val="00412A18"/>
    <w:rsid w:val="00413C99"/>
    <w:rsid w:val="00417195"/>
    <w:rsid w:val="00417A93"/>
    <w:rsid w:val="00420C3B"/>
    <w:rsid w:val="00424BDF"/>
    <w:rsid w:val="00425FEB"/>
    <w:rsid w:val="00426C1F"/>
    <w:rsid w:val="00426DA9"/>
    <w:rsid w:val="00430234"/>
    <w:rsid w:val="004329F7"/>
    <w:rsid w:val="00434F42"/>
    <w:rsid w:val="00436BE2"/>
    <w:rsid w:val="00436C4C"/>
    <w:rsid w:val="0044079A"/>
    <w:rsid w:val="00440EC1"/>
    <w:rsid w:val="004428EB"/>
    <w:rsid w:val="004437E8"/>
    <w:rsid w:val="00443E4D"/>
    <w:rsid w:val="00445653"/>
    <w:rsid w:val="004458B0"/>
    <w:rsid w:val="0044689C"/>
    <w:rsid w:val="00447528"/>
    <w:rsid w:val="00451CB9"/>
    <w:rsid w:val="004527B7"/>
    <w:rsid w:val="00452B82"/>
    <w:rsid w:val="004532AD"/>
    <w:rsid w:val="00453A2F"/>
    <w:rsid w:val="0045477D"/>
    <w:rsid w:val="004547D3"/>
    <w:rsid w:val="00455748"/>
    <w:rsid w:val="00455CFE"/>
    <w:rsid w:val="00456507"/>
    <w:rsid w:val="00456705"/>
    <w:rsid w:val="00456BF7"/>
    <w:rsid w:val="004571F3"/>
    <w:rsid w:val="004608EE"/>
    <w:rsid w:val="0046167A"/>
    <w:rsid w:val="004622ED"/>
    <w:rsid w:val="004637C9"/>
    <w:rsid w:val="004642D0"/>
    <w:rsid w:val="00464C51"/>
    <w:rsid w:val="00465DD4"/>
    <w:rsid w:val="0047110F"/>
    <w:rsid w:val="00471AE2"/>
    <w:rsid w:val="0047219A"/>
    <w:rsid w:val="004741AC"/>
    <w:rsid w:val="004758CE"/>
    <w:rsid w:val="0047720C"/>
    <w:rsid w:val="00480E32"/>
    <w:rsid w:val="00481050"/>
    <w:rsid w:val="004812C0"/>
    <w:rsid w:val="004825DB"/>
    <w:rsid w:val="00482F36"/>
    <w:rsid w:val="00483165"/>
    <w:rsid w:val="00483DFD"/>
    <w:rsid w:val="00485FEF"/>
    <w:rsid w:val="00487D4E"/>
    <w:rsid w:val="004900AC"/>
    <w:rsid w:val="00491C88"/>
    <w:rsid w:val="00492E4E"/>
    <w:rsid w:val="00493209"/>
    <w:rsid w:val="00497187"/>
    <w:rsid w:val="004A2A3D"/>
    <w:rsid w:val="004A2D08"/>
    <w:rsid w:val="004A5287"/>
    <w:rsid w:val="004A6347"/>
    <w:rsid w:val="004B12FE"/>
    <w:rsid w:val="004B267B"/>
    <w:rsid w:val="004B296B"/>
    <w:rsid w:val="004B435F"/>
    <w:rsid w:val="004B4EF9"/>
    <w:rsid w:val="004B667A"/>
    <w:rsid w:val="004B747C"/>
    <w:rsid w:val="004C0E35"/>
    <w:rsid w:val="004C16F6"/>
    <w:rsid w:val="004C1712"/>
    <w:rsid w:val="004C21C8"/>
    <w:rsid w:val="004C253C"/>
    <w:rsid w:val="004C2A1D"/>
    <w:rsid w:val="004C40D1"/>
    <w:rsid w:val="004C5509"/>
    <w:rsid w:val="004C5B7F"/>
    <w:rsid w:val="004C5CDA"/>
    <w:rsid w:val="004C74ED"/>
    <w:rsid w:val="004D2122"/>
    <w:rsid w:val="004D452C"/>
    <w:rsid w:val="004D6292"/>
    <w:rsid w:val="004D6C73"/>
    <w:rsid w:val="004E1DCA"/>
    <w:rsid w:val="004E2078"/>
    <w:rsid w:val="004E3084"/>
    <w:rsid w:val="004E54BE"/>
    <w:rsid w:val="004E605C"/>
    <w:rsid w:val="004E69D3"/>
    <w:rsid w:val="004E734A"/>
    <w:rsid w:val="004F02AB"/>
    <w:rsid w:val="004F29A3"/>
    <w:rsid w:val="004F43B4"/>
    <w:rsid w:val="004F5B22"/>
    <w:rsid w:val="004F6EAC"/>
    <w:rsid w:val="004F7A41"/>
    <w:rsid w:val="005005DD"/>
    <w:rsid w:val="005015A6"/>
    <w:rsid w:val="00501C16"/>
    <w:rsid w:val="00501EE5"/>
    <w:rsid w:val="0050335D"/>
    <w:rsid w:val="0050346F"/>
    <w:rsid w:val="00506E73"/>
    <w:rsid w:val="00507512"/>
    <w:rsid w:val="00511316"/>
    <w:rsid w:val="005130B7"/>
    <w:rsid w:val="00513597"/>
    <w:rsid w:val="0051577C"/>
    <w:rsid w:val="005208E7"/>
    <w:rsid w:val="0052099A"/>
    <w:rsid w:val="00521532"/>
    <w:rsid w:val="005218D4"/>
    <w:rsid w:val="00521EE4"/>
    <w:rsid w:val="00523AEA"/>
    <w:rsid w:val="0052532A"/>
    <w:rsid w:val="00525DBC"/>
    <w:rsid w:val="00526DD5"/>
    <w:rsid w:val="00530C30"/>
    <w:rsid w:val="00531AD7"/>
    <w:rsid w:val="00535E28"/>
    <w:rsid w:val="0053670D"/>
    <w:rsid w:val="0053721C"/>
    <w:rsid w:val="00537938"/>
    <w:rsid w:val="005421E0"/>
    <w:rsid w:val="00542F6A"/>
    <w:rsid w:val="00545363"/>
    <w:rsid w:val="00545AF2"/>
    <w:rsid w:val="00551D81"/>
    <w:rsid w:val="005524DA"/>
    <w:rsid w:val="005533B3"/>
    <w:rsid w:val="0055520D"/>
    <w:rsid w:val="0055696A"/>
    <w:rsid w:val="005570E5"/>
    <w:rsid w:val="00557295"/>
    <w:rsid w:val="0055776D"/>
    <w:rsid w:val="00557AD8"/>
    <w:rsid w:val="005615D0"/>
    <w:rsid w:val="00562BF8"/>
    <w:rsid w:val="005631CA"/>
    <w:rsid w:val="00564093"/>
    <w:rsid w:val="00565B33"/>
    <w:rsid w:val="00566B78"/>
    <w:rsid w:val="00567971"/>
    <w:rsid w:val="00567CC9"/>
    <w:rsid w:val="00570F83"/>
    <w:rsid w:val="00571A5E"/>
    <w:rsid w:val="0057553D"/>
    <w:rsid w:val="00577261"/>
    <w:rsid w:val="005802BA"/>
    <w:rsid w:val="005822F4"/>
    <w:rsid w:val="00583566"/>
    <w:rsid w:val="005837FE"/>
    <w:rsid w:val="00585CAD"/>
    <w:rsid w:val="00592565"/>
    <w:rsid w:val="005931C0"/>
    <w:rsid w:val="00594EB8"/>
    <w:rsid w:val="00595D9E"/>
    <w:rsid w:val="00597422"/>
    <w:rsid w:val="005A32BF"/>
    <w:rsid w:val="005A6575"/>
    <w:rsid w:val="005A7A36"/>
    <w:rsid w:val="005A7B6B"/>
    <w:rsid w:val="005B031A"/>
    <w:rsid w:val="005B11F2"/>
    <w:rsid w:val="005B13B8"/>
    <w:rsid w:val="005B1DF1"/>
    <w:rsid w:val="005B38F7"/>
    <w:rsid w:val="005B3DCF"/>
    <w:rsid w:val="005B46CE"/>
    <w:rsid w:val="005B46E7"/>
    <w:rsid w:val="005B4B46"/>
    <w:rsid w:val="005B695E"/>
    <w:rsid w:val="005B6CB2"/>
    <w:rsid w:val="005B77C7"/>
    <w:rsid w:val="005C187F"/>
    <w:rsid w:val="005C21E9"/>
    <w:rsid w:val="005C2300"/>
    <w:rsid w:val="005C26C3"/>
    <w:rsid w:val="005C299E"/>
    <w:rsid w:val="005C3AB3"/>
    <w:rsid w:val="005C6B60"/>
    <w:rsid w:val="005C7D45"/>
    <w:rsid w:val="005D0A1C"/>
    <w:rsid w:val="005D1285"/>
    <w:rsid w:val="005D150D"/>
    <w:rsid w:val="005D2101"/>
    <w:rsid w:val="005D241B"/>
    <w:rsid w:val="005D2C80"/>
    <w:rsid w:val="005D4B91"/>
    <w:rsid w:val="005D4BB2"/>
    <w:rsid w:val="005D569C"/>
    <w:rsid w:val="005D6C6B"/>
    <w:rsid w:val="005D6EBC"/>
    <w:rsid w:val="005E11FC"/>
    <w:rsid w:val="005E21E1"/>
    <w:rsid w:val="005E3B93"/>
    <w:rsid w:val="005E4529"/>
    <w:rsid w:val="005E47BB"/>
    <w:rsid w:val="005E56FB"/>
    <w:rsid w:val="005E710F"/>
    <w:rsid w:val="005E720F"/>
    <w:rsid w:val="005F0F1E"/>
    <w:rsid w:val="005F363D"/>
    <w:rsid w:val="005F3AD9"/>
    <w:rsid w:val="005F4DEC"/>
    <w:rsid w:val="005F6E23"/>
    <w:rsid w:val="005F77FE"/>
    <w:rsid w:val="005F7881"/>
    <w:rsid w:val="00601E9C"/>
    <w:rsid w:val="0060637A"/>
    <w:rsid w:val="00611447"/>
    <w:rsid w:val="00611734"/>
    <w:rsid w:val="00612F27"/>
    <w:rsid w:val="006132EC"/>
    <w:rsid w:val="00613519"/>
    <w:rsid w:val="00613828"/>
    <w:rsid w:val="00613903"/>
    <w:rsid w:val="00614F79"/>
    <w:rsid w:val="0062156C"/>
    <w:rsid w:val="00622D76"/>
    <w:rsid w:val="00623C8C"/>
    <w:rsid w:val="0062716A"/>
    <w:rsid w:val="00630DD8"/>
    <w:rsid w:val="0063133F"/>
    <w:rsid w:val="00633248"/>
    <w:rsid w:val="006332DA"/>
    <w:rsid w:val="00633607"/>
    <w:rsid w:val="00640C19"/>
    <w:rsid w:val="00640E7A"/>
    <w:rsid w:val="006429C9"/>
    <w:rsid w:val="00644320"/>
    <w:rsid w:val="00650BF3"/>
    <w:rsid w:val="00650FB7"/>
    <w:rsid w:val="00655EBE"/>
    <w:rsid w:val="00662237"/>
    <w:rsid w:val="00662EAB"/>
    <w:rsid w:val="00662FFD"/>
    <w:rsid w:val="00663547"/>
    <w:rsid w:val="00663E7C"/>
    <w:rsid w:val="006642FB"/>
    <w:rsid w:val="00673F40"/>
    <w:rsid w:val="00674A47"/>
    <w:rsid w:val="00675DBD"/>
    <w:rsid w:val="006772A8"/>
    <w:rsid w:val="00680CD9"/>
    <w:rsid w:val="00681C7B"/>
    <w:rsid w:val="00682BBA"/>
    <w:rsid w:val="006871D5"/>
    <w:rsid w:val="00687AE4"/>
    <w:rsid w:val="00687BAA"/>
    <w:rsid w:val="00690A2B"/>
    <w:rsid w:val="006926BE"/>
    <w:rsid w:val="00692BA0"/>
    <w:rsid w:val="00694AB3"/>
    <w:rsid w:val="006A04FE"/>
    <w:rsid w:val="006A1083"/>
    <w:rsid w:val="006A24AF"/>
    <w:rsid w:val="006A329E"/>
    <w:rsid w:val="006A6965"/>
    <w:rsid w:val="006A69A1"/>
    <w:rsid w:val="006A706F"/>
    <w:rsid w:val="006B095A"/>
    <w:rsid w:val="006B0DE2"/>
    <w:rsid w:val="006B2671"/>
    <w:rsid w:val="006B2FB8"/>
    <w:rsid w:val="006B38DC"/>
    <w:rsid w:val="006B3E0E"/>
    <w:rsid w:val="006B4565"/>
    <w:rsid w:val="006B7606"/>
    <w:rsid w:val="006C224F"/>
    <w:rsid w:val="006C34B0"/>
    <w:rsid w:val="006C3CE9"/>
    <w:rsid w:val="006C3DA6"/>
    <w:rsid w:val="006C3EC4"/>
    <w:rsid w:val="006C5264"/>
    <w:rsid w:val="006C6D4A"/>
    <w:rsid w:val="006C7B51"/>
    <w:rsid w:val="006C7D71"/>
    <w:rsid w:val="006C7E13"/>
    <w:rsid w:val="006D1687"/>
    <w:rsid w:val="006D47E9"/>
    <w:rsid w:val="006D4CF2"/>
    <w:rsid w:val="006D63EB"/>
    <w:rsid w:val="006D666A"/>
    <w:rsid w:val="006D7CAF"/>
    <w:rsid w:val="006E2417"/>
    <w:rsid w:val="006E253D"/>
    <w:rsid w:val="006E4A37"/>
    <w:rsid w:val="006F0D8B"/>
    <w:rsid w:val="006F26F5"/>
    <w:rsid w:val="006F31EA"/>
    <w:rsid w:val="006F3ED0"/>
    <w:rsid w:val="006F463C"/>
    <w:rsid w:val="006F5EB3"/>
    <w:rsid w:val="006F6E8D"/>
    <w:rsid w:val="006F7471"/>
    <w:rsid w:val="0070011F"/>
    <w:rsid w:val="00700638"/>
    <w:rsid w:val="00701792"/>
    <w:rsid w:val="00703C30"/>
    <w:rsid w:val="00705CCA"/>
    <w:rsid w:val="00707508"/>
    <w:rsid w:val="00711A09"/>
    <w:rsid w:val="007135B1"/>
    <w:rsid w:val="007165F7"/>
    <w:rsid w:val="00716607"/>
    <w:rsid w:val="00716995"/>
    <w:rsid w:val="007170E7"/>
    <w:rsid w:val="0072041C"/>
    <w:rsid w:val="007208B4"/>
    <w:rsid w:val="00720F3A"/>
    <w:rsid w:val="00722AD9"/>
    <w:rsid w:val="00723406"/>
    <w:rsid w:val="007243F6"/>
    <w:rsid w:val="007272DC"/>
    <w:rsid w:val="007300BB"/>
    <w:rsid w:val="00730AAA"/>
    <w:rsid w:val="0073266F"/>
    <w:rsid w:val="00733123"/>
    <w:rsid w:val="007331CB"/>
    <w:rsid w:val="00733905"/>
    <w:rsid w:val="0073392D"/>
    <w:rsid w:val="007344DB"/>
    <w:rsid w:val="007345A9"/>
    <w:rsid w:val="00734820"/>
    <w:rsid w:val="00735052"/>
    <w:rsid w:val="00735171"/>
    <w:rsid w:val="00735CF1"/>
    <w:rsid w:val="007372A6"/>
    <w:rsid w:val="007376DB"/>
    <w:rsid w:val="007401C3"/>
    <w:rsid w:val="007421DD"/>
    <w:rsid w:val="00742EE1"/>
    <w:rsid w:val="0074403D"/>
    <w:rsid w:val="0074404D"/>
    <w:rsid w:val="00745554"/>
    <w:rsid w:val="00745C2F"/>
    <w:rsid w:val="00745CB5"/>
    <w:rsid w:val="007468C5"/>
    <w:rsid w:val="007476D0"/>
    <w:rsid w:val="007477EC"/>
    <w:rsid w:val="007518AF"/>
    <w:rsid w:val="00751987"/>
    <w:rsid w:val="007538C5"/>
    <w:rsid w:val="007626E8"/>
    <w:rsid w:val="00762953"/>
    <w:rsid w:val="00762F23"/>
    <w:rsid w:val="00763059"/>
    <w:rsid w:val="0076342B"/>
    <w:rsid w:val="007644A8"/>
    <w:rsid w:val="00764FD6"/>
    <w:rsid w:val="00765066"/>
    <w:rsid w:val="00765DF6"/>
    <w:rsid w:val="00767B43"/>
    <w:rsid w:val="00767D16"/>
    <w:rsid w:val="00770B39"/>
    <w:rsid w:val="007717D1"/>
    <w:rsid w:val="00772B7F"/>
    <w:rsid w:val="00772CB4"/>
    <w:rsid w:val="0077327A"/>
    <w:rsid w:val="0077592C"/>
    <w:rsid w:val="00775931"/>
    <w:rsid w:val="00776453"/>
    <w:rsid w:val="0077792F"/>
    <w:rsid w:val="007814D6"/>
    <w:rsid w:val="007824BD"/>
    <w:rsid w:val="00783187"/>
    <w:rsid w:val="00784D07"/>
    <w:rsid w:val="00784D4F"/>
    <w:rsid w:val="007852CC"/>
    <w:rsid w:val="00791774"/>
    <w:rsid w:val="007948E5"/>
    <w:rsid w:val="007950C1"/>
    <w:rsid w:val="007957D2"/>
    <w:rsid w:val="0079663F"/>
    <w:rsid w:val="00797AFA"/>
    <w:rsid w:val="007A024E"/>
    <w:rsid w:val="007A16A5"/>
    <w:rsid w:val="007A230F"/>
    <w:rsid w:val="007A2AC4"/>
    <w:rsid w:val="007A45D1"/>
    <w:rsid w:val="007A6865"/>
    <w:rsid w:val="007A7006"/>
    <w:rsid w:val="007A7194"/>
    <w:rsid w:val="007B05B2"/>
    <w:rsid w:val="007B064A"/>
    <w:rsid w:val="007B0672"/>
    <w:rsid w:val="007B3AAC"/>
    <w:rsid w:val="007B4C2B"/>
    <w:rsid w:val="007B633F"/>
    <w:rsid w:val="007B68FE"/>
    <w:rsid w:val="007B6FE5"/>
    <w:rsid w:val="007B72C1"/>
    <w:rsid w:val="007B72F4"/>
    <w:rsid w:val="007B7EC9"/>
    <w:rsid w:val="007C044A"/>
    <w:rsid w:val="007C136F"/>
    <w:rsid w:val="007C3386"/>
    <w:rsid w:val="007C3406"/>
    <w:rsid w:val="007C5AAF"/>
    <w:rsid w:val="007D1E1B"/>
    <w:rsid w:val="007D4355"/>
    <w:rsid w:val="007D4A48"/>
    <w:rsid w:val="007D50B0"/>
    <w:rsid w:val="007D682B"/>
    <w:rsid w:val="007E1A01"/>
    <w:rsid w:val="007E2293"/>
    <w:rsid w:val="007E3857"/>
    <w:rsid w:val="007E4F56"/>
    <w:rsid w:val="007E5896"/>
    <w:rsid w:val="007E6791"/>
    <w:rsid w:val="007E7591"/>
    <w:rsid w:val="007F5DD8"/>
    <w:rsid w:val="007F6A66"/>
    <w:rsid w:val="007F6AFE"/>
    <w:rsid w:val="007F76D6"/>
    <w:rsid w:val="007F7C4C"/>
    <w:rsid w:val="008001F3"/>
    <w:rsid w:val="00801BEA"/>
    <w:rsid w:val="00803E56"/>
    <w:rsid w:val="00804B86"/>
    <w:rsid w:val="00806032"/>
    <w:rsid w:val="008063D6"/>
    <w:rsid w:val="00807573"/>
    <w:rsid w:val="0081172B"/>
    <w:rsid w:val="0081189C"/>
    <w:rsid w:val="0081195D"/>
    <w:rsid w:val="00814BCC"/>
    <w:rsid w:val="00814E89"/>
    <w:rsid w:val="00816027"/>
    <w:rsid w:val="00816888"/>
    <w:rsid w:val="00816E3F"/>
    <w:rsid w:val="008177F9"/>
    <w:rsid w:val="00817F91"/>
    <w:rsid w:val="00821E1C"/>
    <w:rsid w:val="008239DF"/>
    <w:rsid w:val="00823D2A"/>
    <w:rsid w:val="00825BB9"/>
    <w:rsid w:val="00827357"/>
    <w:rsid w:val="00827C78"/>
    <w:rsid w:val="00830F52"/>
    <w:rsid w:val="008322FD"/>
    <w:rsid w:val="00841B09"/>
    <w:rsid w:val="008463EF"/>
    <w:rsid w:val="00846F24"/>
    <w:rsid w:val="00847641"/>
    <w:rsid w:val="00852D37"/>
    <w:rsid w:val="008530C9"/>
    <w:rsid w:val="00853D31"/>
    <w:rsid w:val="008547F8"/>
    <w:rsid w:val="00855164"/>
    <w:rsid w:val="008560D3"/>
    <w:rsid w:val="00860927"/>
    <w:rsid w:val="0086201D"/>
    <w:rsid w:val="008632B6"/>
    <w:rsid w:val="0086376C"/>
    <w:rsid w:val="00864519"/>
    <w:rsid w:val="00866923"/>
    <w:rsid w:val="008678D1"/>
    <w:rsid w:val="00871F61"/>
    <w:rsid w:val="00873FF0"/>
    <w:rsid w:val="008744D3"/>
    <w:rsid w:val="00874C3D"/>
    <w:rsid w:val="00875381"/>
    <w:rsid w:val="00877858"/>
    <w:rsid w:val="008826E8"/>
    <w:rsid w:val="008839C4"/>
    <w:rsid w:val="00883BCF"/>
    <w:rsid w:val="00883E9D"/>
    <w:rsid w:val="008843B2"/>
    <w:rsid w:val="00884CE0"/>
    <w:rsid w:val="00884DFA"/>
    <w:rsid w:val="008859BC"/>
    <w:rsid w:val="0088785B"/>
    <w:rsid w:val="00890683"/>
    <w:rsid w:val="00891C6C"/>
    <w:rsid w:val="0089283B"/>
    <w:rsid w:val="00894DD9"/>
    <w:rsid w:val="00894F93"/>
    <w:rsid w:val="00895DEA"/>
    <w:rsid w:val="008966F5"/>
    <w:rsid w:val="00896721"/>
    <w:rsid w:val="00896FBB"/>
    <w:rsid w:val="00897317"/>
    <w:rsid w:val="008A1DDD"/>
    <w:rsid w:val="008A2451"/>
    <w:rsid w:val="008A3C69"/>
    <w:rsid w:val="008B2B86"/>
    <w:rsid w:val="008B322B"/>
    <w:rsid w:val="008B352A"/>
    <w:rsid w:val="008B389F"/>
    <w:rsid w:val="008B3904"/>
    <w:rsid w:val="008B3CB8"/>
    <w:rsid w:val="008B4833"/>
    <w:rsid w:val="008B5717"/>
    <w:rsid w:val="008B647C"/>
    <w:rsid w:val="008C0E58"/>
    <w:rsid w:val="008C12EC"/>
    <w:rsid w:val="008C35B9"/>
    <w:rsid w:val="008C479E"/>
    <w:rsid w:val="008C63C1"/>
    <w:rsid w:val="008C6827"/>
    <w:rsid w:val="008C7524"/>
    <w:rsid w:val="008C7DF4"/>
    <w:rsid w:val="008D04D6"/>
    <w:rsid w:val="008D135B"/>
    <w:rsid w:val="008D1ACC"/>
    <w:rsid w:val="008D2508"/>
    <w:rsid w:val="008D3F6D"/>
    <w:rsid w:val="008D47E7"/>
    <w:rsid w:val="008D5FB7"/>
    <w:rsid w:val="008D713E"/>
    <w:rsid w:val="008D78E4"/>
    <w:rsid w:val="008D7D10"/>
    <w:rsid w:val="008E01E0"/>
    <w:rsid w:val="008E1BB2"/>
    <w:rsid w:val="008E1C8D"/>
    <w:rsid w:val="008E2436"/>
    <w:rsid w:val="008E2DC7"/>
    <w:rsid w:val="008E52A4"/>
    <w:rsid w:val="008E5C52"/>
    <w:rsid w:val="008E74D1"/>
    <w:rsid w:val="008E7EC4"/>
    <w:rsid w:val="008F05C1"/>
    <w:rsid w:val="008F16E0"/>
    <w:rsid w:val="008F2D72"/>
    <w:rsid w:val="008F3381"/>
    <w:rsid w:val="008F3EE1"/>
    <w:rsid w:val="008F4EAE"/>
    <w:rsid w:val="008F6348"/>
    <w:rsid w:val="008F6F82"/>
    <w:rsid w:val="008F77FF"/>
    <w:rsid w:val="009005F2"/>
    <w:rsid w:val="00901FAD"/>
    <w:rsid w:val="00902968"/>
    <w:rsid w:val="00903466"/>
    <w:rsid w:val="00903739"/>
    <w:rsid w:val="00904E7D"/>
    <w:rsid w:val="0090652C"/>
    <w:rsid w:val="009109E2"/>
    <w:rsid w:val="00911575"/>
    <w:rsid w:val="00913CCD"/>
    <w:rsid w:val="00915AFA"/>
    <w:rsid w:val="0091640A"/>
    <w:rsid w:val="00916C26"/>
    <w:rsid w:val="00916EE1"/>
    <w:rsid w:val="0091798B"/>
    <w:rsid w:val="00921721"/>
    <w:rsid w:val="0092177B"/>
    <w:rsid w:val="00923F73"/>
    <w:rsid w:val="009250BE"/>
    <w:rsid w:val="009272D6"/>
    <w:rsid w:val="00930269"/>
    <w:rsid w:val="00930753"/>
    <w:rsid w:val="00932EBC"/>
    <w:rsid w:val="00935E37"/>
    <w:rsid w:val="009377B3"/>
    <w:rsid w:val="00937950"/>
    <w:rsid w:val="00940B4D"/>
    <w:rsid w:val="00941CBA"/>
    <w:rsid w:val="00942598"/>
    <w:rsid w:val="009430B4"/>
    <w:rsid w:val="00944642"/>
    <w:rsid w:val="00946364"/>
    <w:rsid w:val="0094674D"/>
    <w:rsid w:val="009511E9"/>
    <w:rsid w:val="00951680"/>
    <w:rsid w:val="00951AF1"/>
    <w:rsid w:val="00952CFB"/>
    <w:rsid w:val="009530D2"/>
    <w:rsid w:val="00953229"/>
    <w:rsid w:val="00953C1E"/>
    <w:rsid w:val="00953F2F"/>
    <w:rsid w:val="009540B9"/>
    <w:rsid w:val="00955166"/>
    <w:rsid w:val="00955A89"/>
    <w:rsid w:val="00955B1C"/>
    <w:rsid w:val="009607FB"/>
    <w:rsid w:val="00962071"/>
    <w:rsid w:val="00963387"/>
    <w:rsid w:val="0096624B"/>
    <w:rsid w:val="00967020"/>
    <w:rsid w:val="0097104F"/>
    <w:rsid w:val="00971A38"/>
    <w:rsid w:val="00971E56"/>
    <w:rsid w:val="00974632"/>
    <w:rsid w:val="009766BD"/>
    <w:rsid w:val="00980D54"/>
    <w:rsid w:val="0098147C"/>
    <w:rsid w:val="009842CE"/>
    <w:rsid w:val="00984521"/>
    <w:rsid w:val="0098593C"/>
    <w:rsid w:val="009866DC"/>
    <w:rsid w:val="009874E9"/>
    <w:rsid w:val="00990D32"/>
    <w:rsid w:val="009915E1"/>
    <w:rsid w:val="00994337"/>
    <w:rsid w:val="00994EB7"/>
    <w:rsid w:val="00997DB1"/>
    <w:rsid w:val="009A0C14"/>
    <w:rsid w:val="009A108A"/>
    <w:rsid w:val="009A22D6"/>
    <w:rsid w:val="009A382F"/>
    <w:rsid w:val="009A3958"/>
    <w:rsid w:val="009A43CF"/>
    <w:rsid w:val="009A43D6"/>
    <w:rsid w:val="009A5170"/>
    <w:rsid w:val="009A54D7"/>
    <w:rsid w:val="009A5989"/>
    <w:rsid w:val="009A5FC6"/>
    <w:rsid w:val="009A6E9C"/>
    <w:rsid w:val="009B0261"/>
    <w:rsid w:val="009B06ED"/>
    <w:rsid w:val="009B1533"/>
    <w:rsid w:val="009B167A"/>
    <w:rsid w:val="009B1BE7"/>
    <w:rsid w:val="009B36CE"/>
    <w:rsid w:val="009B45BD"/>
    <w:rsid w:val="009B60E7"/>
    <w:rsid w:val="009B6CED"/>
    <w:rsid w:val="009C0E00"/>
    <w:rsid w:val="009C0FDD"/>
    <w:rsid w:val="009C2253"/>
    <w:rsid w:val="009C559D"/>
    <w:rsid w:val="009C63E6"/>
    <w:rsid w:val="009D108D"/>
    <w:rsid w:val="009D2693"/>
    <w:rsid w:val="009D3070"/>
    <w:rsid w:val="009D4F8D"/>
    <w:rsid w:val="009D5267"/>
    <w:rsid w:val="009D668F"/>
    <w:rsid w:val="009E0B0B"/>
    <w:rsid w:val="009E1A96"/>
    <w:rsid w:val="009E3F32"/>
    <w:rsid w:val="009E5412"/>
    <w:rsid w:val="009E59D6"/>
    <w:rsid w:val="009E7198"/>
    <w:rsid w:val="009E7306"/>
    <w:rsid w:val="009F0FA3"/>
    <w:rsid w:val="009F124C"/>
    <w:rsid w:val="009F17E7"/>
    <w:rsid w:val="009F19E9"/>
    <w:rsid w:val="009F3F65"/>
    <w:rsid w:val="009F44A1"/>
    <w:rsid w:val="009F5832"/>
    <w:rsid w:val="009F5FE8"/>
    <w:rsid w:val="009F630E"/>
    <w:rsid w:val="009F7A4E"/>
    <w:rsid w:val="00A00B9B"/>
    <w:rsid w:val="00A019E9"/>
    <w:rsid w:val="00A0379B"/>
    <w:rsid w:val="00A040CC"/>
    <w:rsid w:val="00A07E3F"/>
    <w:rsid w:val="00A12A3A"/>
    <w:rsid w:val="00A12A55"/>
    <w:rsid w:val="00A1671B"/>
    <w:rsid w:val="00A16CCC"/>
    <w:rsid w:val="00A17142"/>
    <w:rsid w:val="00A200F3"/>
    <w:rsid w:val="00A20C72"/>
    <w:rsid w:val="00A22CE2"/>
    <w:rsid w:val="00A22E62"/>
    <w:rsid w:val="00A258FD"/>
    <w:rsid w:val="00A25ADA"/>
    <w:rsid w:val="00A26E8A"/>
    <w:rsid w:val="00A300E8"/>
    <w:rsid w:val="00A30C70"/>
    <w:rsid w:val="00A33CF2"/>
    <w:rsid w:val="00A347FA"/>
    <w:rsid w:val="00A35120"/>
    <w:rsid w:val="00A3581E"/>
    <w:rsid w:val="00A35F6F"/>
    <w:rsid w:val="00A361B3"/>
    <w:rsid w:val="00A36814"/>
    <w:rsid w:val="00A37AE8"/>
    <w:rsid w:val="00A401A8"/>
    <w:rsid w:val="00A42723"/>
    <w:rsid w:val="00A457A7"/>
    <w:rsid w:val="00A46F60"/>
    <w:rsid w:val="00A47F97"/>
    <w:rsid w:val="00A50019"/>
    <w:rsid w:val="00A5045C"/>
    <w:rsid w:val="00A52E63"/>
    <w:rsid w:val="00A557C3"/>
    <w:rsid w:val="00A575ED"/>
    <w:rsid w:val="00A612B7"/>
    <w:rsid w:val="00A613B2"/>
    <w:rsid w:val="00A619F8"/>
    <w:rsid w:val="00A6544E"/>
    <w:rsid w:val="00A658EE"/>
    <w:rsid w:val="00A667BA"/>
    <w:rsid w:val="00A71A40"/>
    <w:rsid w:val="00A71C04"/>
    <w:rsid w:val="00A73264"/>
    <w:rsid w:val="00A779DB"/>
    <w:rsid w:val="00A812DA"/>
    <w:rsid w:val="00A8134F"/>
    <w:rsid w:val="00A81390"/>
    <w:rsid w:val="00A8140D"/>
    <w:rsid w:val="00A81932"/>
    <w:rsid w:val="00A826E0"/>
    <w:rsid w:val="00A82A3C"/>
    <w:rsid w:val="00A8315C"/>
    <w:rsid w:val="00A8418C"/>
    <w:rsid w:val="00A860EC"/>
    <w:rsid w:val="00A87EE6"/>
    <w:rsid w:val="00A90517"/>
    <w:rsid w:val="00A92933"/>
    <w:rsid w:val="00A93976"/>
    <w:rsid w:val="00A93CF9"/>
    <w:rsid w:val="00A95674"/>
    <w:rsid w:val="00A96265"/>
    <w:rsid w:val="00A96FE1"/>
    <w:rsid w:val="00A97428"/>
    <w:rsid w:val="00A977B8"/>
    <w:rsid w:val="00A97CAB"/>
    <w:rsid w:val="00AA1098"/>
    <w:rsid w:val="00AA2024"/>
    <w:rsid w:val="00AA2C8E"/>
    <w:rsid w:val="00AA37A4"/>
    <w:rsid w:val="00AA3E71"/>
    <w:rsid w:val="00AA4513"/>
    <w:rsid w:val="00AA5C4A"/>
    <w:rsid w:val="00AA7A9E"/>
    <w:rsid w:val="00AB06AE"/>
    <w:rsid w:val="00AB205B"/>
    <w:rsid w:val="00AB59CC"/>
    <w:rsid w:val="00AB65BA"/>
    <w:rsid w:val="00AC0AFA"/>
    <w:rsid w:val="00AC10A6"/>
    <w:rsid w:val="00AC32A6"/>
    <w:rsid w:val="00AC6A10"/>
    <w:rsid w:val="00AD1123"/>
    <w:rsid w:val="00AD1C4F"/>
    <w:rsid w:val="00AD261C"/>
    <w:rsid w:val="00AD3667"/>
    <w:rsid w:val="00AD4DE2"/>
    <w:rsid w:val="00AD5176"/>
    <w:rsid w:val="00AD7219"/>
    <w:rsid w:val="00AD7CC5"/>
    <w:rsid w:val="00AE1E12"/>
    <w:rsid w:val="00AE3393"/>
    <w:rsid w:val="00AE3BE8"/>
    <w:rsid w:val="00AE5C33"/>
    <w:rsid w:val="00AE7337"/>
    <w:rsid w:val="00AF04E1"/>
    <w:rsid w:val="00AF2EAC"/>
    <w:rsid w:val="00AF3CDC"/>
    <w:rsid w:val="00AF4C68"/>
    <w:rsid w:val="00AF5B37"/>
    <w:rsid w:val="00B01063"/>
    <w:rsid w:val="00B011C8"/>
    <w:rsid w:val="00B0523A"/>
    <w:rsid w:val="00B05EAC"/>
    <w:rsid w:val="00B05F64"/>
    <w:rsid w:val="00B0653F"/>
    <w:rsid w:val="00B06A49"/>
    <w:rsid w:val="00B10040"/>
    <w:rsid w:val="00B10427"/>
    <w:rsid w:val="00B134ED"/>
    <w:rsid w:val="00B1394E"/>
    <w:rsid w:val="00B15E4C"/>
    <w:rsid w:val="00B20997"/>
    <w:rsid w:val="00B2177C"/>
    <w:rsid w:val="00B233C2"/>
    <w:rsid w:val="00B245F3"/>
    <w:rsid w:val="00B268C5"/>
    <w:rsid w:val="00B27E38"/>
    <w:rsid w:val="00B27FAF"/>
    <w:rsid w:val="00B31102"/>
    <w:rsid w:val="00B31CDB"/>
    <w:rsid w:val="00B324B1"/>
    <w:rsid w:val="00B32B68"/>
    <w:rsid w:val="00B336F6"/>
    <w:rsid w:val="00B34097"/>
    <w:rsid w:val="00B340E9"/>
    <w:rsid w:val="00B36CA1"/>
    <w:rsid w:val="00B40286"/>
    <w:rsid w:val="00B410E4"/>
    <w:rsid w:val="00B413B7"/>
    <w:rsid w:val="00B4448F"/>
    <w:rsid w:val="00B44CFD"/>
    <w:rsid w:val="00B465EF"/>
    <w:rsid w:val="00B46EF3"/>
    <w:rsid w:val="00B502C2"/>
    <w:rsid w:val="00B54E94"/>
    <w:rsid w:val="00B55211"/>
    <w:rsid w:val="00B57301"/>
    <w:rsid w:val="00B57C3A"/>
    <w:rsid w:val="00B60D86"/>
    <w:rsid w:val="00B61D27"/>
    <w:rsid w:val="00B61EB8"/>
    <w:rsid w:val="00B62338"/>
    <w:rsid w:val="00B629BA"/>
    <w:rsid w:val="00B6320F"/>
    <w:rsid w:val="00B63770"/>
    <w:rsid w:val="00B64B19"/>
    <w:rsid w:val="00B65364"/>
    <w:rsid w:val="00B662DF"/>
    <w:rsid w:val="00B669D9"/>
    <w:rsid w:val="00B671DC"/>
    <w:rsid w:val="00B674EE"/>
    <w:rsid w:val="00B70F13"/>
    <w:rsid w:val="00B7278F"/>
    <w:rsid w:val="00B72DA6"/>
    <w:rsid w:val="00B744A0"/>
    <w:rsid w:val="00B75125"/>
    <w:rsid w:val="00B75C68"/>
    <w:rsid w:val="00B7693F"/>
    <w:rsid w:val="00B77948"/>
    <w:rsid w:val="00B80D66"/>
    <w:rsid w:val="00B82C54"/>
    <w:rsid w:val="00B83745"/>
    <w:rsid w:val="00B8494D"/>
    <w:rsid w:val="00B8494F"/>
    <w:rsid w:val="00B85217"/>
    <w:rsid w:val="00B8585B"/>
    <w:rsid w:val="00B87ADD"/>
    <w:rsid w:val="00B916A4"/>
    <w:rsid w:val="00B920CE"/>
    <w:rsid w:val="00B93CD9"/>
    <w:rsid w:val="00B94997"/>
    <w:rsid w:val="00B94C44"/>
    <w:rsid w:val="00B96666"/>
    <w:rsid w:val="00BA349D"/>
    <w:rsid w:val="00BA3501"/>
    <w:rsid w:val="00BA3898"/>
    <w:rsid w:val="00BA4CB5"/>
    <w:rsid w:val="00BA6944"/>
    <w:rsid w:val="00BA7F17"/>
    <w:rsid w:val="00BB0914"/>
    <w:rsid w:val="00BB1523"/>
    <w:rsid w:val="00BC032D"/>
    <w:rsid w:val="00BC20CE"/>
    <w:rsid w:val="00BC3065"/>
    <w:rsid w:val="00BC55BD"/>
    <w:rsid w:val="00BC685F"/>
    <w:rsid w:val="00BC6FC7"/>
    <w:rsid w:val="00BD1E53"/>
    <w:rsid w:val="00BD2FB3"/>
    <w:rsid w:val="00BD3530"/>
    <w:rsid w:val="00BD3AA8"/>
    <w:rsid w:val="00BD3D38"/>
    <w:rsid w:val="00BE0920"/>
    <w:rsid w:val="00BE0AFB"/>
    <w:rsid w:val="00BE0D4A"/>
    <w:rsid w:val="00BE2644"/>
    <w:rsid w:val="00BE2B8F"/>
    <w:rsid w:val="00BE374E"/>
    <w:rsid w:val="00BE59A0"/>
    <w:rsid w:val="00BE6279"/>
    <w:rsid w:val="00BF0D12"/>
    <w:rsid w:val="00BF22FD"/>
    <w:rsid w:val="00BF24A8"/>
    <w:rsid w:val="00BF2519"/>
    <w:rsid w:val="00BF389C"/>
    <w:rsid w:val="00BF75D3"/>
    <w:rsid w:val="00BF7898"/>
    <w:rsid w:val="00BF7C34"/>
    <w:rsid w:val="00C004C6"/>
    <w:rsid w:val="00C0116C"/>
    <w:rsid w:val="00C01AC2"/>
    <w:rsid w:val="00C02B25"/>
    <w:rsid w:val="00C05C8A"/>
    <w:rsid w:val="00C07693"/>
    <w:rsid w:val="00C10A05"/>
    <w:rsid w:val="00C15667"/>
    <w:rsid w:val="00C15911"/>
    <w:rsid w:val="00C1651C"/>
    <w:rsid w:val="00C16DA2"/>
    <w:rsid w:val="00C2063D"/>
    <w:rsid w:val="00C20DFF"/>
    <w:rsid w:val="00C21578"/>
    <w:rsid w:val="00C21CBF"/>
    <w:rsid w:val="00C238B9"/>
    <w:rsid w:val="00C26370"/>
    <w:rsid w:val="00C27C60"/>
    <w:rsid w:val="00C3083E"/>
    <w:rsid w:val="00C308FD"/>
    <w:rsid w:val="00C31A3B"/>
    <w:rsid w:val="00C31C8F"/>
    <w:rsid w:val="00C327EC"/>
    <w:rsid w:val="00C33440"/>
    <w:rsid w:val="00C343EB"/>
    <w:rsid w:val="00C344E7"/>
    <w:rsid w:val="00C35D49"/>
    <w:rsid w:val="00C4083C"/>
    <w:rsid w:val="00C43992"/>
    <w:rsid w:val="00C444B6"/>
    <w:rsid w:val="00C44929"/>
    <w:rsid w:val="00C45451"/>
    <w:rsid w:val="00C45693"/>
    <w:rsid w:val="00C466AA"/>
    <w:rsid w:val="00C470D3"/>
    <w:rsid w:val="00C47DD1"/>
    <w:rsid w:val="00C502C4"/>
    <w:rsid w:val="00C50AF2"/>
    <w:rsid w:val="00C5382F"/>
    <w:rsid w:val="00C5459D"/>
    <w:rsid w:val="00C55015"/>
    <w:rsid w:val="00C55B41"/>
    <w:rsid w:val="00C56FFC"/>
    <w:rsid w:val="00C57314"/>
    <w:rsid w:val="00C57E00"/>
    <w:rsid w:val="00C631DF"/>
    <w:rsid w:val="00C65146"/>
    <w:rsid w:val="00C65827"/>
    <w:rsid w:val="00C65CE4"/>
    <w:rsid w:val="00C700DD"/>
    <w:rsid w:val="00C72580"/>
    <w:rsid w:val="00C726F0"/>
    <w:rsid w:val="00C72C7A"/>
    <w:rsid w:val="00C73436"/>
    <w:rsid w:val="00C74281"/>
    <w:rsid w:val="00C74ADC"/>
    <w:rsid w:val="00C75040"/>
    <w:rsid w:val="00C762BE"/>
    <w:rsid w:val="00C802BA"/>
    <w:rsid w:val="00C82D3A"/>
    <w:rsid w:val="00C8389E"/>
    <w:rsid w:val="00C857DE"/>
    <w:rsid w:val="00C86C2E"/>
    <w:rsid w:val="00C86E74"/>
    <w:rsid w:val="00C90E8A"/>
    <w:rsid w:val="00C914F2"/>
    <w:rsid w:val="00C91DCF"/>
    <w:rsid w:val="00C92737"/>
    <w:rsid w:val="00C931A5"/>
    <w:rsid w:val="00C93732"/>
    <w:rsid w:val="00C969A0"/>
    <w:rsid w:val="00C97ED7"/>
    <w:rsid w:val="00CA180A"/>
    <w:rsid w:val="00CA1F20"/>
    <w:rsid w:val="00CA2064"/>
    <w:rsid w:val="00CA2733"/>
    <w:rsid w:val="00CA42DA"/>
    <w:rsid w:val="00CA4856"/>
    <w:rsid w:val="00CB0966"/>
    <w:rsid w:val="00CB5E09"/>
    <w:rsid w:val="00CC15B3"/>
    <w:rsid w:val="00CC211B"/>
    <w:rsid w:val="00CC3067"/>
    <w:rsid w:val="00CC48E9"/>
    <w:rsid w:val="00CC50C9"/>
    <w:rsid w:val="00CC5BA4"/>
    <w:rsid w:val="00CD22BE"/>
    <w:rsid w:val="00CD2D06"/>
    <w:rsid w:val="00CD3A00"/>
    <w:rsid w:val="00CD4480"/>
    <w:rsid w:val="00CD4582"/>
    <w:rsid w:val="00CD5FFB"/>
    <w:rsid w:val="00CD6485"/>
    <w:rsid w:val="00CD6698"/>
    <w:rsid w:val="00CD6796"/>
    <w:rsid w:val="00CD68D9"/>
    <w:rsid w:val="00CD6A0F"/>
    <w:rsid w:val="00CD6A30"/>
    <w:rsid w:val="00CE0105"/>
    <w:rsid w:val="00CE11FC"/>
    <w:rsid w:val="00CE2C07"/>
    <w:rsid w:val="00CE4454"/>
    <w:rsid w:val="00CE4A2E"/>
    <w:rsid w:val="00CE5A5A"/>
    <w:rsid w:val="00CE5AAD"/>
    <w:rsid w:val="00CE5D67"/>
    <w:rsid w:val="00CE61A0"/>
    <w:rsid w:val="00CF0CC6"/>
    <w:rsid w:val="00CF0FDB"/>
    <w:rsid w:val="00CF2E61"/>
    <w:rsid w:val="00CF62AB"/>
    <w:rsid w:val="00CF67BE"/>
    <w:rsid w:val="00CF7B25"/>
    <w:rsid w:val="00D000F1"/>
    <w:rsid w:val="00D03471"/>
    <w:rsid w:val="00D05203"/>
    <w:rsid w:val="00D06372"/>
    <w:rsid w:val="00D0698B"/>
    <w:rsid w:val="00D072F2"/>
    <w:rsid w:val="00D154EB"/>
    <w:rsid w:val="00D16927"/>
    <w:rsid w:val="00D16B58"/>
    <w:rsid w:val="00D17757"/>
    <w:rsid w:val="00D20C5D"/>
    <w:rsid w:val="00D21F4A"/>
    <w:rsid w:val="00D22E0E"/>
    <w:rsid w:val="00D27D41"/>
    <w:rsid w:val="00D30B81"/>
    <w:rsid w:val="00D31176"/>
    <w:rsid w:val="00D31562"/>
    <w:rsid w:val="00D317EF"/>
    <w:rsid w:val="00D31AF0"/>
    <w:rsid w:val="00D35812"/>
    <w:rsid w:val="00D40EFC"/>
    <w:rsid w:val="00D427CE"/>
    <w:rsid w:val="00D4584D"/>
    <w:rsid w:val="00D46AA5"/>
    <w:rsid w:val="00D51200"/>
    <w:rsid w:val="00D515F5"/>
    <w:rsid w:val="00D525FB"/>
    <w:rsid w:val="00D537D6"/>
    <w:rsid w:val="00D56332"/>
    <w:rsid w:val="00D6185F"/>
    <w:rsid w:val="00D6223A"/>
    <w:rsid w:val="00D649AD"/>
    <w:rsid w:val="00D66480"/>
    <w:rsid w:val="00D707BD"/>
    <w:rsid w:val="00D7178D"/>
    <w:rsid w:val="00D71AC6"/>
    <w:rsid w:val="00D71D83"/>
    <w:rsid w:val="00D7239F"/>
    <w:rsid w:val="00D74AC2"/>
    <w:rsid w:val="00D777F6"/>
    <w:rsid w:val="00D779A4"/>
    <w:rsid w:val="00D77B20"/>
    <w:rsid w:val="00D80D38"/>
    <w:rsid w:val="00D81CB8"/>
    <w:rsid w:val="00D84D44"/>
    <w:rsid w:val="00D8554B"/>
    <w:rsid w:val="00D86B24"/>
    <w:rsid w:val="00D87A00"/>
    <w:rsid w:val="00D902AD"/>
    <w:rsid w:val="00D9042A"/>
    <w:rsid w:val="00D919C9"/>
    <w:rsid w:val="00D928E4"/>
    <w:rsid w:val="00D94A65"/>
    <w:rsid w:val="00D95AA2"/>
    <w:rsid w:val="00D9620A"/>
    <w:rsid w:val="00DA00B0"/>
    <w:rsid w:val="00DA06E4"/>
    <w:rsid w:val="00DA18B6"/>
    <w:rsid w:val="00DA1DBE"/>
    <w:rsid w:val="00DA2917"/>
    <w:rsid w:val="00DA2D61"/>
    <w:rsid w:val="00DA4CCA"/>
    <w:rsid w:val="00DA5885"/>
    <w:rsid w:val="00DA58A7"/>
    <w:rsid w:val="00DA6C06"/>
    <w:rsid w:val="00DA7578"/>
    <w:rsid w:val="00DB0174"/>
    <w:rsid w:val="00DB11A2"/>
    <w:rsid w:val="00DB12E7"/>
    <w:rsid w:val="00DB1E18"/>
    <w:rsid w:val="00DB1F65"/>
    <w:rsid w:val="00DB269D"/>
    <w:rsid w:val="00DB3F0A"/>
    <w:rsid w:val="00DB4238"/>
    <w:rsid w:val="00DB525D"/>
    <w:rsid w:val="00DB6CD6"/>
    <w:rsid w:val="00DC0D7D"/>
    <w:rsid w:val="00DC3A1F"/>
    <w:rsid w:val="00DC41CB"/>
    <w:rsid w:val="00DC4D61"/>
    <w:rsid w:val="00DC57FD"/>
    <w:rsid w:val="00DD013C"/>
    <w:rsid w:val="00DD05ED"/>
    <w:rsid w:val="00DD1753"/>
    <w:rsid w:val="00DD23A4"/>
    <w:rsid w:val="00DD4BDF"/>
    <w:rsid w:val="00DD59E6"/>
    <w:rsid w:val="00DD7381"/>
    <w:rsid w:val="00DD73ED"/>
    <w:rsid w:val="00DD7ADC"/>
    <w:rsid w:val="00DE1217"/>
    <w:rsid w:val="00DE15DD"/>
    <w:rsid w:val="00DE216D"/>
    <w:rsid w:val="00DE3741"/>
    <w:rsid w:val="00DE3F32"/>
    <w:rsid w:val="00DE401B"/>
    <w:rsid w:val="00DE57C5"/>
    <w:rsid w:val="00DE6301"/>
    <w:rsid w:val="00DE7AE0"/>
    <w:rsid w:val="00DF083F"/>
    <w:rsid w:val="00DF1870"/>
    <w:rsid w:val="00DF24C0"/>
    <w:rsid w:val="00DF2567"/>
    <w:rsid w:val="00DF2C84"/>
    <w:rsid w:val="00DF5450"/>
    <w:rsid w:val="00DF5F33"/>
    <w:rsid w:val="00DF60C0"/>
    <w:rsid w:val="00DF6B95"/>
    <w:rsid w:val="00E004DD"/>
    <w:rsid w:val="00E0239A"/>
    <w:rsid w:val="00E03A09"/>
    <w:rsid w:val="00E03D3B"/>
    <w:rsid w:val="00E03F23"/>
    <w:rsid w:val="00E04A5D"/>
    <w:rsid w:val="00E0658C"/>
    <w:rsid w:val="00E06982"/>
    <w:rsid w:val="00E07EFE"/>
    <w:rsid w:val="00E1124A"/>
    <w:rsid w:val="00E12282"/>
    <w:rsid w:val="00E12356"/>
    <w:rsid w:val="00E14227"/>
    <w:rsid w:val="00E17E7B"/>
    <w:rsid w:val="00E20E84"/>
    <w:rsid w:val="00E2168C"/>
    <w:rsid w:val="00E22093"/>
    <w:rsid w:val="00E23B06"/>
    <w:rsid w:val="00E24C56"/>
    <w:rsid w:val="00E24F6A"/>
    <w:rsid w:val="00E268A4"/>
    <w:rsid w:val="00E274A4"/>
    <w:rsid w:val="00E328A9"/>
    <w:rsid w:val="00E333F2"/>
    <w:rsid w:val="00E338A0"/>
    <w:rsid w:val="00E33C93"/>
    <w:rsid w:val="00E362A7"/>
    <w:rsid w:val="00E401BD"/>
    <w:rsid w:val="00E415C2"/>
    <w:rsid w:val="00E41F10"/>
    <w:rsid w:val="00E43FCA"/>
    <w:rsid w:val="00E441D8"/>
    <w:rsid w:val="00E44524"/>
    <w:rsid w:val="00E44889"/>
    <w:rsid w:val="00E4555D"/>
    <w:rsid w:val="00E462D6"/>
    <w:rsid w:val="00E46783"/>
    <w:rsid w:val="00E500D7"/>
    <w:rsid w:val="00E51C10"/>
    <w:rsid w:val="00E51D28"/>
    <w:rsid w:val="00E554CD"/>
    <w:rsid w:val="00E5586C"/>
    <w:rsid w:val="00E5783F"/>
    <w:rsid w:val="00E6056F"/>
    <w:rsid w:val="00E640F1"/>
    <w:rsid w:val="00E64E76"/>
    <w:rsid w:val="00E66511"/>
    <w:rsid w:val="00E67000"/>
    <w:rsid w:val="00E70105"/>
    <w:rsid w:val="00E70D2C"/>
    <w:rsid w:val="00E7174C"/>
    <w:rsid w:val="00E72B3A"/>
    <w:rsid w:val="00E7388E"/>
    <w:rsid w:val="00E73ABA"/>
    <w:rsid w:val="00E7407E"/>
    <w:rsid w:val="00E7744B"/>
    <w:rsid w:val="00E7760D"/>
    <w:rsid w:val="00E77E1B"/>
    <w:rsid w:val="00E815EC"/>
    <w:rsid w:val="00E81976"/>
    <w:rsid w:val="00E8323A"/>
    <w:rsid w:val="00E85A08"/>
    <w:rsid w:val="00E860D4"/>
    <w:rsid w:val="00E87699"/>
    <w:rsid w:val="00E908FB"/>
    <w:rsid w:val="00E90CA3"/>
    <w:rsid w:val="00E929DB"/>
    <w:rsid w:val="00E9364E"/>
    <w:rsid w:val="00E93C02"/>
    <w:rsid w:val="00E95B20"/>
    <w:rsid w:val="00E95C7C"/>
    <w:rsid w:val="00E95DE0"/>
    <w:rsid w:val="00E96E55"/>
    <w:rsid w:val="00E974B7"/>
    <w:rsid w:val="00EA133A"/>
    <w:rsid w:val="00EA32EB"/>
    <w:rsid w:val="00EA6B1A"/>
    <w:rsid w:val="00EA7938"/>
    <w:rsid w:val="00EB0997"/>
    <w:rsid w:val="00EB1880"/>
    <w:rsid w:val="00EB26BD"/>
    <w:rsid w:val="00EB3496"/>
    <w:rsid w:val="00EB586C"/>
    <w:rsid w:val="00EB5991"/>
    <w:rsid w:val="00EB68BB"/>
    <w:rsid w:val="00EB6A4E"/>
    <w:rsid w:val="00EB7295"/>
    <w:rsid w:val="00EC28CF"/>
    <w:rsid w:val="00EC574A"/>
    <w:rsid w:val="00EC62E9"/>
    <w:rsid w:val="00EC63F8"/>
    <w:rsid w:val="00EC72DA"/>
    <w:rsid w:val="00ED06FD"/>
    <w:rsid w:val="00ED2DC9"/>
    <w:rsid w:val="00ED2DF6"/>
    <w:rsid w:val="00ED30AB"/>
    <w:rsid w:val="00ED4A80"/>
    <w:rsid w:val="00ED5334"/>
    <w:rsid w:val="00ED5822"/>
    <w:rsid w:val="00ED5A5F"/>
    <w:rsid w:val="00ED68DA"/>
    <w:rsid w:val="00ED6BC4"/>
    <w:rsid w:val="00EE1D70"/>
    <w:rsid w:val="00EE2542"/>
    <w:rsid w:val="00EE4ECA"/>
    <w:rsid w:val="00EE5723"/>
    <w:rsid w:val="00EE6135"/>
    <w:rsid w:val="00EE6A12"/>
    <w:rsid w:val="00EF1EE8"/>
    <w:rsid w:val="00EF5248"/>
    <w:rsid w:val="00EF56C9"/>
    <w:rsid w:val="00F00A75"/>
    <w:rsid w:val="00F00DA9"/>
    <w:rsid w:val="00F01071"/>
    <w:rsid w:val="00F026D7"/>
    <w:rsid w:val="00F03BC8"/>
    <w:rsid w:val="00F03DFB"/>
    <w:rsid w:val="00F12875"/>
    <w:rsid w:val="00F13BDE"/>
    <w:rsid w:val="00F13C37"/>
    <w:rsid w:val="00F150C7"/>
    <w:rsid w:val="00F16546"/>
    <w:rsid w:val="00F17201"/>
    <w:rsid w:val="00F1752B"/>
    <w:rsid w:val="00F20582"/>
    <w:rsid w:val="00F2104F"/>
    <w:rsid w:val="00F265B6"/>
    <w:rsid w:val="00F31202"/>
    <w:rsid w:val="00F31517"/>
    <w:rsid w:val="00F32ECD"/>
    <w:rsid w:val="00F33597"/>
    <w:rsid w:val="00F3594A"/>
    <w:rsid w:val="00F35D75"/>
    <w:rsid w:val="00F36A55"/>
    <w:rsid w:val="00F40068"/>
    <w:rsid w:val="00F40FAE"/>
    <w:rsid w:val="00F4145A"/>
    <w:rsid w:val="00F41E53"/>
    <w:rsid w:val="00F432A7"/>
    <w:rsid w:val="00F4384A"/>
    <w:rsid w:val="00F44D8B"/>
    <w:rsid w:val="00F47192"/>
    <w:rsid w:val="00F477E5"/>
    <w:rsid w:val="00F4791C"/>
    <w:rsid w:val="00F47B49"/>
    <w:rsid w:val="00F50B55"/>
    <w:rsid w:val="00F50CC9"/>
    <w:rsid w:val="00F5285D"/>
    <w:rsid w:val="00F52904"/>
    <w:rsid w:val="00F563FF"/>
    <w:rsid w:val="00F571F8"/>
    <w:rsid w:val="00F57404"/>
    <w:rsid w:val="00F576A3"/>
    <w:rsid w:val="00F60850"/>
    <w:rsid w:val="00F60E7F"/>
    <w:rsid w:val="00F60FB3"/>
    <w:rsid w:val="00F610C5"/>
    <w:rsid w:val="00F61C65"/>
    <w:rsid w:val="00F6226C"/>
    <w:rsid w:val="00F62E29"/>
    <w:rsid w:val="00F633E9"/>
    <w:rsid w:val="00F635B6"/>
    <w:rsid w:val="00F65706"/>
    <w:rsid w:val="00F669D5"/>
    <w:rsid w:val="00F66F59"/>
    <w:rsid w:val="00F71524"/>
    <w:rsid w:val="00F72125"/>
    <w:rsid w:val="00F72B00"/>
    <w:rsid w:val="00F731F9"/>
    <w:rsid w:val="00F73A49"/>
    <w:rsid w:val="00F745F8"/>
    <w:rsid w:val="00F753EB"/>
    <w:rsid w:val="00F762A9"/>
    <w:rsid w:val="00F80A2B"/>
    <w:rsid w:val="00F80ABB"/>
    <w:rsid w:val="00F81D9E"/>
    <w:rsid w:val="00F81F4E"/>
    <w:rsid w:val="00F831DA"/>
    <w:rsid w:val="00F84469"/>
    <w:rsid w:val="00F904E6"/>
    <w:rsid w:val="00F909A5"/>
    <w:rsid w:val="00F90C78"/>
    <w:rsid w:val="00F91B67"/>
    <w:rsid w:val="00F94D1D"/>
    <w:rsid w:val="00F9522D"/>
    <w:rsid w:val="00F95A77"/>
    <w:rsid w:val="00F95F76"/>
    <w:rsid w:val="00F96346"/>
    <w:rsid w:val="00F96E1A"/>
    <w:rsid w:val="00F973A2"/>
    <w:rsid w:val="00FA0AD6"/>
    <w:rsid w:val="00FA136E"/>
    <w:rsid w:val="00FA2D9C"/>
    <w:rsid w:val="00FA2E8E"/>
    <w:rsid w:val="00FA3093"/>
    <w:rsid w:val="00FA36A1"/>
    <w:rsid w:val="00FA3E29"/>
    <w:rsid w:val="00FA4246"/>
    <w:rsid w:val="00FA5FF2"/>
    <w:rsid w:val="00FA7095"/>
    <w:rsid w:val="00FA72F0"/>
    <w:rsid w:val="00FA785C"/>
    <w:rsid w:val="00FB0927"/>
    <w:rsid w:val="00FB19FC"/>
    <w:rsid w:val="00FB27AB"/>
    <w:rsid w:val="00FB3F90"/>
    <w:rsid w:val="00FB58AD"/>
    <w:rsid w:val="00FB6027"/>
    <w:rsid w:val="00FB60FC"/>
    <w:rsid w:val="00FB664D"/>
    <w:rsid w:val="00FC0C02"/>
    <w:rsid w:val="00FC0D86"/>
    <w:rsid w:val="00FC138F"/>
    <w:rsid w:val="00FC1AF9"/>
    <w:rsid w:val="00FC25A0"/>
    <w:rsid w:val="00FC3425"/>
    <w:rsid w:val="00FC4B9F"/>
    <w:rsid w:val="00FC4C0A"/>
    <w:rsid w:val="00FC6147"/>
    <w:rsid w:val="00FC6784"/>
    <w:rsid w:val="00FD014F"/>
    <w:rsid w:val="00FD1CC1"/>
    <w:rsid w:val="00FD2977"/>
    <w:rsid w:val="00FD36D9"/>
    <w:rsid w:val="00FD4534"/>
    <w:rsid w:val="00FD5395"/>
    <w:rsid w:val="00FD58AC"/>
    <w:rsid w:val="00FE0FF4"/>
    <w:rsid w:val="00FE1352"/>
    <w:rsid w:val="00FE18E4"/>
    <w:rsid w:val="00FE195C"/>
    <w:rsid w:val="00FE21F4"/>
    <w:rsid w:val="00FE470A"/>
    <w:rsid w:val="00FE4FF2"/>
    <w:rsid w:val="00FE51C8"/>
    <w:rsid w:val="00FE6468"/>
    <w:rsid w:val="00FE7852"/>
    <w:rsid w:val="00FE7DDD"/>
    <w:rsid w:val="00FF0784"/>
    <w:rsid w:val="00FF101F"/>
    <w:rsid w:val="00FF58AC"/>
    <w:rsid w:val="00FF5C13"/>
    <w:rsid w:val="00FF7C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B108736"/>
  <w15:docId w15:val="{1B469ED0-6779-43CF-9345-3AEEABDE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F2"/>
    <w:pPr>
      <w:spacing w:before="100" w:beforeAutospacing="1" w:after="100" w:afterAutospacing="1" w:line="240" w:lineRule="auto"/>
    </w:pPr>
    <w:rPr>
      <w:rFonts w:ascii="Arial" w:eastAsia="Times New Roman" w:hAnsi="Arial" w:cs="Times New Roman"/>
      <w:sz w:val="18"/>
      <w:szCs w:val="20"/>
      <w:lang w:eastAsia="fr-FR"/>
    </w:rPr>
  </w:style>
  <w:style w:type="paragraph" w:styleId="Titre1">
    <w:name w:val="heading 1"/>
    <w:aliases w:val="TITRE1"/>
    <w:basedOn w:val="Normal"/>
    <w:next w:val="Normal"/>
    <w:link w:val="Titre1Car"/>
    <w:autoRedefine/>
    <w:uiPriority w:val="9"/>
    <w:qFormat/>
    <w:rsid w:val="003566DA"/>
    <w:pPr>
      <w:keepNext/>
      <w:keepLines/>
      <w:numPr>
        <w:numId w:val="3"/>
      </w:numPr>
      <w:spacing w:after="240" w:line="276" w:lineRule="auto"/>
      <w:outlineLvl w:val="0"/>
    </w:pPr>
    <w:rPr>
      <w:rFonts w:asciiTheme="majorHAnsi" w:eastAsiaTheme="majorEastAsia" w:hAnsiTheme="majorHAnsi" w:cstheme="majorBidi"/>
      <w:b/>
      <w:bCs/>
      <w:color w:val="8064A2" w:themeColor="accent4"/>
      <w:sz w:val="26"/>
      <w:szCs w:val="26"/>
      <w:lang w:eastAsia="en-US"/>
    </w:rPr>
  </w:style>
  <w:style w:type="paragraph" w:styleId="Titre2">
    <w:name w:val="heading 2"/>
    <w:aliases w:val="Titre § 2,l2,prop2,h2,Arial 12 Fett Kursiv,H2,Heading2,Abschnitt,paragraphe,I2,Titre 21,t2.T2,Titre 2bis,nul,Titre 2bis1,nul1,2,2nd level,Header 2,Head 2,Section Title,1.1,List level 2,CHS,Titre 2 - RAO,Specf Titre 2,Titre 2-CAT"/>
    <w:basedOn w:val="Normal"/>
    <w:next w:val="Normal"/>
    <w:link w:val="Titre2Car"/>
    <w:uiPriority w:val="9"/>
    <w:unhideWhenUsed/>
    <w:qFormat/>
    <w:rsid w:val="00C21CBF"/>
    <w:pPr>
      <w:keepNext/>
      <w:keepLines/>
      <w:numPr>
        <w:ilvl w:val="1"/>
        <w:numId w:val="3"/>
      </w:numPr>
      <w:spacing w:after="24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aliases w:val="Titre § 3,prop3,h3,h31,h32,h33,h34,h35,h36,h37,h38,h39,h310,h311,h321,h331,h341,h351,h361,h371,h381,h312,h322,h332,h342,h352,h362,h372,h382,h313,h323,h333,h343,h353,h363,h373,h383,h314,h324,h334,h344,h354,h364,h374,h384,h315,h325,h335,h345"/>
    <w:basedOn w:val="Normal"/>
    <w:next w:val="Normal"/>
    <w:link w:val="Titre3Car"/>
    <w:unhideWhenUsed/>
    <w:qFormat/>
    <w:rsid w:val="00D000F1"/>
    <w:pPr>
      <w:keepNext/>
      <w:keepLines/>
      <w:numPr>
        <w:ilvl w:val="2"/>
        <w:numId w:val="3"/>
      </w:numPr>
      <w:spacing w:before="200"/>
      <w:outlineLvl w:val="2"/>
    </w:pPr>
    <w:rPr>
      <w:rFonts w:asciiTheme="majorHAnsi" w:eastAsiaTheme="majorEastAsia" w:hAnsiTheme="majorHAnsi" w:cstheme="majorBidi"/>
      <w:b/>
      <w:bCs/>
      <w:color w:val="4F81BD" w:themeColor="accent1"/>
      <w:sz w:val="20"/>
    </w:rPr>
  </w:style>
  <w:style w:type="paragraph" w:styleId="Titre4">
    <w:name w:val="heading 4"/>
    <w:aliases w:val="Titre § 4,(annexe),H4,h4,h41,h42,h43,h411,h44,h412,h45,h413,h46,h414,h47,h48,h415,h49,h410,h416,h417,h418,h419,h420,h4110,h421,h422,h4111,h431,h441,h4121,h451,h4131,h461,h4141,h471,h481,h4151,h491,h4101,h4161,h4171,h4181,h4191,h4201,h41101"/>
    <w:basedOn w:val="Normal"/>
    <w:next w:val="Normal"/>
    <w:link w:val="Titre4Car"/>
    <w:qFormat/>
    <w:rsid w:val="00E5586C"/>
    <w:pPr>
      <w:keepNext/>
      <w:numPr>
        <w:ilvl w:val="3"/>
        <w:numId w:val="3"/>
      </w:numPr>
      <w:spacing w:before="120" w:after="60" w:line="280" w:lineRule="exact"/>
      <w:jc w:val="both"/>
      <w:outlineLvl w:val="3"/>
    </w:pPr>
    <w:rPr>
      <w:rFonts w:asciiTheme="majorHAnsi" w:hAnsiTheme="majorHAnsi"/>
      <w:b/>
      <w:bCs/>
      <w:i/>
      <w:iCs/>
      <w:color w:val="4F81BD"/>
      <w:sz w:val="20"/>
      <w:szCs w:val="22"/>
      <w:lang w:val="x-none" w:eastAsia="x-none"/>
    </w:rPr>
  </w:style>
  <w:style w:type="paragraph" w:styleId="Titre5">
    <w:name w:val="heading 5"/>
    <w:aliases w:val="H5,mh2,Module heading 2,h5,Numbered Sub-list"/>
    <w:basedOn w:val="Normal"/>
    <w:next w:val="Retraitnormal"/>
    <w:link w:val="Titre5Car"/>
    <w:qFormat/>
    <w:rsid w:val="007C3386"/>
    <w:pPr>
      <w:numPr>
        <w:ilvl w:val="4"/>
        <w:numId w:val="3"/>
      </w:numPr>
      <w:spacing w:line="280" w:lineRule="exact"/>
      <w:jc w:val="both"/>
      <w:outlineLvl w:val="4"/>
    </w:pPr>
    <w:rPr>
      <w:b/>
      <w:bCs/>
      <w:sz w:val="20"/>
      <w:lang w:val="x-none" w:eastAsia="x-none"/>
    </w:rPr>
  </w:style>
  <w:style w:type="paragraph" w:styleId="Titre6">
    <w:name w:val="heading 6"/>
    <w:basedOn w:val="Normal"/>
    <w:next w:val="Normal"/>
    <w:link w:val="Titre6Car"/>
    <w:uiPriority w:val="9"/>
    <w:unhideWhenUsed/>
    <w:qFormat/>
    <w:rsid w:val="003250F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3250F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250F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250F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1 Car"/>
    <w:basedOn w:val="Policepardfaut"/>
    <w:link w:val="Titre1"/>
    <w:uiPriority w:val="9"/>
    <w:rsid w:val="003566DA"/>
    <w:rPr>
      <w:rFonts w:asciiTheme="majorHAnsi" w:eastAsiaTheme="majorEastAsia" w:hAnsiTheme="majorHAnsi" w:cstheme="majorBidi"/>
      <w:b/>
      <w:bCs/>
      <w:color w:val="8064A2" w:themeColor="accent4"/>
      <w:sz w:val="26"/>
      <w:szCs w:val="26"/>
    </w:rPr>
  </w:style>
  <w:style w:type="character" w:customStyle="1" w:styleId="Titre2Car">
    <w:name w:val="Titre 2 Car"/>
    <w:aliases w:val="Titre § 2 Car,l2 Car,prop2 Car,h2 Car,Arial 12 Fett Kursiv Car,H2 Car,Heading2 Car,Abschnitt Car,paragraphe Car,I2 Car,Titre 21 Car,t2.T2 Car,Titre 2bis Car,nul Car,Titre 2bis1 Car,nul1 Car,2 Car,2nd level Car,Header 2 Car,Head 2 Car,1.1 Car"/>
    <w:basedOn w:val="Policepardfaut"/>
    <w:link w:val="Titre2"/>
    <w:uiPriority w:val="9"/>
    <w:rsid w:val="00C21CBF"/>
    <w:rPr>
      <w:rFonts w:asciiTheme="majorHAnsi" w:eastAsiaTheme="majorEastAsia" w:hAnsiTheme="majorHAnsi" w:cstheme="majorBidi"/>
      <w:b/>
      <w:bCs/>
      <w:color w:val="4F81BD" w:themeColor="accent1"/>
      <w:sz w:val="26"/>
      <w:szCs w:val="26"/>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basedOn w:val="Policepardfaut"/>
    <w:link w:val="Titre3"/>
    <w:rsid w:val="00D000F1"/>
    <w:rPr>
      <w:rFonts w:asciiTheme="majorHAnsi" w:eastAsiaTheme="majorEastAsia" w:hAnsiTheme="majorHAnsi" w:cstheme="majorBidi"/>
      <w:b/>
      <w:bCs/>
      <w:color w:val="4F81BD" w:themeColor="accent1"/>
      <w:sz w:val="20"/>
      <w:szCs w:val="20"/>
      <w:lang w:eastAsia="fr-FR"/>
    </w:rPr>
  </w:style>
  <w:style w:type="character" w:customStyle="1" w:styleId="Titre4Car">
    <w:name w:val="Titre 4 Car"/>
    <w:aliases w:val="Titre § 4 Car,(annexe) Car,H4 Car,h4 Car,h41 Car,h42 Car,h43 Car,h411 Car,h44 Car,h412 Car,h45 Car,h413 Car,h46 Car,h414 Car,h47 Car,h48 Car,h415 Car,h49 Car,h410 Car,h416 Car,h417 Car,h418 Car,h419 Car,h420 Car,h4110 Car,h421 Car,h422 Car"/>
    <w:basedOn w:val="Policepardfaut"/>
    <w:link w:val="Titre4"/>
    <w:rsid w:val="00E5586C"/>
    <w:rPr>
      <w:rFonts w:asciiTheme="majorHAnsi" w:eastAsia="Times New Roman" w:hAnsiTheme="majorHAnsi" w:cs="Times New Roman"/>
      <w:b/>
      <w:bCs/>
      <w:i/>
      <w:iCs/>
      <w:color w:val="4F81BD"/>
      <w:sz w:val="20"/>
      <w:lang w:val="x-none" w:eastAsia="x-none"/>
    </w:rPr>
  </w:style>
  <w:style w:type="paragraph" w:styleId="Retraitnormal">
    <w:name w:val="Normal Indent"/>
    <w:basedOn w:val="Normal"/>
    <w:uiPriority w:val="99"/>
    <w:semiHidden/>
    <w:unhideWhenUsed/>
    <w:rsid w:val="007C3386"/>
    <w:pPr>
      <w:ind w:left="708"/>
    </w:pPr>
  </w:style>
  <w:style w:type="character" w:customStyle="1" w:styleId="Titre5Car">
    <w:name w:val="Titre 5 Car"/>
    <w:aliases w:val="H5 Car,mh2 Car,Module heading 2 Car,h5 Car,Numbered Sub-list Car"/>
    <w:basedOn w:val="Policepardfaut"/>
    <w:link w:val="Titre5"/>
    <w:rsid w:val="007C3386"/>
    <w:rPr>
      <w:rFonts w:ascii="Arial" w:eastAsia="Times New Roman" w:hAnsi="Arial" w:cs="Times New Roman"/>
      <w:b/>
      <w:bCs/>
      <w:sz w:val="20"/>
      <w:szCs w:val="20"/>
      <w:lang w:val="x-none" w:eastAsia="x-none"/>
    </w:rPr>
  </w:style>
  <w:style w:type="character" w:customStyle="1" w:styleId="Titre6Car">
    <w:name w:val="Titre 6 Car"/>
    <w:basedOn w:val="Policepardfaut"/>
    <w:link w:val="Titre6"/>
    <w:uiPriority w:val="9"/>
    <w:rsid w:val="003250F7"/>
    <w:rPr>
      <w:rFonts w:asciiTheme="majorHAnsi" w:eastAsiaTheme="majorEastAsia" w:hAnsiTheme="majorHAnsi" w:cstheme="majorBidi"/>
      <w:color w:val="243F60" w:themeColor="accent1" w:themeShade="7F"/>
      <w:sz w:val="18"/>
      <w:szCs w:val="20"/>
      <w:lang w:eastAsia="fr-FR"/>
    </w:rPr>
  </w:style>
  <w:style w:type="character" w:customStyle="1" w:styleId="Titre7Car">
    <w:name w:val="Titre 7 Car"/>
    <w:basedOn w:val="Policepardfaut"/>
    <w:link w:val="Titre7"/>
    <w:uiPriority w:val="9"/>
    <w:rsid w:val="003250F7"/>
    <w:rPr>
      <w:rFonts w:asciiTheme="majorHAnsi" w:eastAsiaTheme="majorEastAsia" w:hAnsiTheme="majorHAnsi" w:cstheme="majorBidi"/>
      <w:i/>
      <w:iCs/>
      <w:color w:val="243F60" w:themeColor="accent1" w:themeShade="7F"/>
      <w:sz w:val="18"/>
      <w:szCs w:val="20"/>
      <w:lang w:eastAsia="fr-FR"/>
    </w:rPr>
  </w:style>
  <w:style w:type="character" w:customStyle="1" w:styleId="Titre8Car">
    <w:name w:val="Titre 8 Car"/>
    <w:basedOn w:val="Policepardfaut"/>
    <w:link w:val="Titre8"/>
    <w:uiPriority w:val="9"/>
    <w:semiHidden/>
    <w:rsid w:val="003250F7"/>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3250F7"/>
    <w:rPr>
      <w:rFonts w:asciiTheme="majorHAnsi" w:eastAsiaTheme="majorEastAsia" w:hAnsiTheme="majorHAnsi" w:cstheme="majorBidi"/>
      <w:i/>
      <w:iCs/>
      <w:color w:val="272727" w:themeColor="text1" w:themeTint="D8"/>
      <w:sz w:val="21"/>
      <w:szCs w:val="21"/>
      <w:lang w:eastAsia="fr-FR"/>
    </w:rPr>
  </w:style>
  <w:style w:type="paragraph" w:styleId="TM1">
    <w:name w:val="toc 1"/>
    <w:basedOn w:val="Normal"/>
    <w:next w:val="Normal"/>
    <w:uiPriority w:val="39"/>
    <w:rsid w:val="00D928E4"/>
    <w:pPr>
      <w:spacing w:before="120" w:after="120"/>
    </w:pPr>
    <w:rPr>
      <w:rFonts w:ascii="Times New Roman" w:hAnsi="Times New Roman"/>
      <w:b/>
      <w:bCs/>
      <w:caps/>
      <w:color w:val="FF6600"/>
      <w:sz w:val="20"/>
    </w:rPr>
  </w:style>
  <w:style w:type="paragraph" w:styleId="TM2">
    <w:name w:val="toc 2"/>
    <w:basedOn w:val="Normal"/>
    <w:next w:val="Normal"/>
    <w:uiPriority w:val="39"/>
    <w:rsid w:val="00D928E4"/>
    <w:pPr>
      <w:ind w:left="180"/>
    </w:pPr>
    <w:rPr>
      <w:rFonts w:ascii="Times New Roman" w:hAnsi="Times New Roman"/>
      <w:smallCaps/>
      <w:color w:val="0000FF"/>
      <w:sz w:val="20"/>
    </w:rPr>
  </w:style>
  <w:style w:type="character" w:styleId="Lienhypertexte">
    <w:name w:val="Hyperlink"/>
    <w:basedOn w:val="Policepardfaut"/>
    <w:uiPriority w:val="99"/>
    <w:rsid w:val="00D928E4"/>
    <w:rPr>
      <w:color w:val="0000FF"/>
      <w:u w:val="single"/>
    </w:rPr>
  </w:style>
  <w:style w:type="paragraph" w:customStyle="1" w:styleId="Tabledesmatieres">
    <w:name w:val="Table des matieres"/>
    <w:basedOn w:val="Normal"/>
    <w:link w:val="TabledesmatieresCar"/>
    <w:qFormat/>
    <w:rsid w:val="00D928E4"/>
    <w:pPr>
      <w:jc w:val="center"/>
    </w:pPr>
    <w:rPr>
      <w:b/>
      <w:bCs/>
      <w:sz w:val="32"/>
      <w:szCs w:val="32"/>
    </w:rPr>
  </w:style>
  <w:style w:type="character" w:customStyle="1" w:styleId="TabledesmatieresCar">
    <w:name w:val="Table des matieres Car"/>
    <w:basedOn w:val="Policepardfaut"/>
    <w:link w:val="Tabledesmatieres"/>
    <w:rsid w:val="00D928E4"/>
    <w:rPr>
      <w:rFonts w:ascii="Tahoma" w:eastAsia="Times New Roman" w:hAnsi="Tahoma" w:cs="Times New Roman"/>
      <w:b/>
      <w:bCs/>
      <w:sz w:val="32"/>
      <w:szCs w:val="32"/>
      <w:lang w:eastAsia="fr-FR"/>
    </w:rPr>
  </w:style>
  <w:style w:type="paragraph" w:customStyle="1" w:styleId="titredoc">
    <w:name w:val="titre doc"/>
    <w:basedOn w:val="Normal"/>
    <w:link w:val="titredocCar"/>
    <w:qFormat/>
    <w:rsid w:val="00D928E4"/>
    <w:pPr>
      <w:shd w:val="clear" w:color="auto" w:fill="BFBFBF"/>
      <w:jc w:val="center"/>
    </w:pPr>
    <w:rPr>
      <w:b/>
      <w:bCs/>
      <w:color w:val="0000FF"/>
      <w:sz w:val="48"/>
      <w:szCs w:val="48"/>
    </w:rPr>
  </w:style>
  <w:style w:type="character" w:customStyle="1" w:styleId="titredocCar">
    <w:name w:val="titre doc Car"/>
    <w:basedOn w:val="Policepardfaut"/>
    <w:link w:val="titredoc"/>
    <w:rsid w:val="00D928E4"/>
    <w:rPr>
      <w:rFonts w:ascii="Tahoma" w:eastAsia="Times New Roman" w:hAnsi="Tahoma" w:cs="Times New Roman"/>
      <w:b/>
      <w:bCs/>
      <w:color w:val="0000FF"/>
      <w:sz w:val="48"/>
      <w:szCs w:val="48"/>
      <w:shd w:val="clear" w:color="auto" w:fill="BFBFBF"/>
      <w:lang w:eastAsia="fr-FR"/>
    </w:rPr>
  </w:style>
  <w:style w:type="paragraph" w:customStyle="1" w:styleId="soustitredoc">
    <w:name w:val="sous titre doc"/>
    <w:basedOn w:val="Normal"/>
    <w:link w:val="soustitredocCar"/>
    <w:qFormat/>
    <w:rsid w:val="00D928E4"/>
    <w:pPr>
      <w:shd w:val="clear" w:color="auto" w:fill="BFBFBF"/>
    </w:pPr>
    <w:rPr>
      <w:b/>
      <w:bCs/>
      <w:color w:val="008000"/>
      <w:sz w:val="48"/>
      <w:szCs w:val="48"/>
    </w:rPr>
  </w:style>
  <w:style w:type="character" w:customStyle="1" w:styleId="soustitredocCar">
    <w:name w:val="sous titre doc Car"/>
    <w:basedOn w:val="Policepardfaut"/>
    <w:link w:val="soustitredoc"/>
    <w:rsid w:val="00D928E4"/>
    <w:rPr>
      <w:rFonts w:ascii="Tahoma" w:eastAsia="Times New Roman" w:hAnsi="Tahoma" w:cs="Times New Roman"/>
      <w:b/>
      <w:bCs/>
      <w:color w:val="008000"/>
      <w:sz w:val="48"/>
      <w:szCs w:val="48"/>
      <w:shd w:val="clear" w:color="auto" w:fill="BFBFBF"/>
      <w:lang w:eastAsia="fr-FR"/>
    </w:rPr>
  </w:style>
  <w:style w:type="paragraph" w:styleId="Paragraphedeliste">
    <w:name w:val="List Paragraph"/>
    <w:basedOn w:val="Normal"/>
    <w:link w:val="ParagraphedelisteCar"/>
    <w:uiPriority w:val="34"/>
    <w:qFormat/>
    <w:rsid w:val="00D928E4"/>
    <w:pPr>
      <w:ind w:left="720"/>
      <w:contextualSpacing/>
    </w:pPr>
  </w:style>
  <w:style w:type="character" w:customStyle="1" w:styleId="ParagraphedelisteCar">
    <w:name w:val="Paragraphe de liste Car"/>
    <w:basedOn w:val="Policepardfaut"/>
    <w:link w:val="Paragraphedeliste"/>
    <w:uiPriority w:val="34"/>
    <w:rsid w:val="00D928E4"/>
    <w:rPr>
      <w:rFonts w:ascii="Tahoma" w:eastAsia="Times New Roman" w:hAnsi="Tahoma" w:cs="Times New Roman"/>
      <w:sz w:val="18"/>
      <w:szCs w:val="20"/>
      <w:lang w:eastAsia="fr-FR"/>
    </w:rPr>
  </w:style>
  <w:style w:type="table" w:styleId="Grilledutableau">
    <w:name w:val="Table Grid"/>
    <w:basedOn w:val="TableauNormal"/>
    <w:uiPriority w:val="39"/>
    <w:rsid w:val="00D928E4"/>
    <w:pPr>
      <w:spacing w:after="0" w:line="240" w:lineRule="auto"/>
    </w:pPr>
    <w:rPr>
      <w:rFonts w:ascii="MS Sans Serif" w:eastAsia="Times New Roman" w:hAnsi="MS Sans Serif"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928E4"/>
    <w:rPr>
      <w:rFonts w:cs="Tahoma"/>
      <w:sz w:val="16"/>
      <w:szCs w:val="16"/>
    </w:rPr>
  </w:style>
  <w:style w:type="character" w:customStyle="1" w:styleId="TextedebullesCar">
    <w:name w:val="Texte de bulles Car"/>
    <w:basedOn w:val="Policepardfaut"/>
    <w:link w:val="Textedebulles"/>
    <w:uiPriority w:val="99"/>
    <w:semiHidden/>
    <w:rsid w:val="00D928E4"/>
    <w:rPr>
      <w:rFonts w:ascii="Tahoma" w:eastAsia="Times New Roman" w:hAnsi="Tahoma" w:cs="Tahoma"/>
      <w:sz w:val="16"/>
      <w:szCs w:val="16"/>
      <w:lang w:eastAsia="fr-FR"/>
    </w:rPr>
  </w:style>
  <w:style w:type="paragraph" w:styleId="En-tte">
    <w:name w:val="header"/>
    <w:basedOn w:val="Normal"/>
    <w:link w:val="En-tteCar"/>
    <w:uiPriority w:val="99"/>
    <w:unhideWhenUsed/>
    <w:rsid w:val="00FA4246"/>
    <w:pPr>
      <w:tabs>
        <w:tab w:val="center" w:pos="4536"/>
        <w:tab w:val="right" w:pos="9072"/>
      </w:tabs>
    </w:pPr>
  </w:style>
  <w:style w:type="character" w:customStyle="1" w:styleId="En-tteCar">
    <w:name w:val="En-tête Car"/>
    <w:basedOn w:val="Policepardfaut"/>
    <w:link w:val="En-tte"/>
    <w:uiPriority w:val="99"/>
    <w:rsid w:val="00FA4246"/>
    <w:rPr>
      <w:rFonts w:ascii="Tahoma" w:eastAsia="Times New Roman" w:hAnsi="Tahoma" w:cs="Times New Roman"/>
      <w:sz w:val="18"/>
      <w:szCs w:val="20"/>
      <w:lang w:eastAsia="fr-FR"/>
    </w:rPr>
  </w:style>
  <w:style w:type="paragraph" w:styleId="Pieddepage">
    <w:name w:val="footer"/>
    <w:basedOn w:val="Normal"/>
    <w:link w:val="PieddepageCar"/>
    <w:unhideWhenUsed/>
    <w:rsid w:val="00FA4246"/>
    <w:pPr>
      <w:tabs>
        <w:tab w:val="center" w:pos="4536"/>
        <w:tab w:val="right" w:pos="9072"/>
      </w:tabs>
    </w:pPr>
  </w:style>
  <w:style w:type="character" w:customStyle="1" w:styleId="PieddepageCar">
    <w:name w:val="Pied de page Car"/>
    <w:basedOn w:val="Policepardfaut"/>
    <w:link w:val="Pieddepage"/>
    <w:rsid w:val="00FA4246"/>
    <w:rPr>
      <w:rFonts w:ascii="Tahoma" w:eastAsia="Times New Roman" w:hAnsi="Tahoma" w:cs="Times New Roman"/>
      <w:sz w:val="18"/>
      <w:szCs w:val="20"/>
      <w:lang w:eastAsia="fr-FR"/>
    </w:rPr>
  </w:style>
  <w:style w:type="character" w:customStyle="1" w:styleId="sectionheadertext1">
    <w:name w:val="sectionheadertext1"/>
    <w:basedOn w:val="Policepardfaut"/>
    <w:rsid w:val="00DF60C0"/>
    <w:rPr>
      <w:vanish w:val="0"/>
      <w:webHidden w:val="0"/>
      <w:specVanish w:val="0"/>
    </w:rPr>
  </w:style>
  <w:style w:type="paragraph" w:styleId="TM3">
    <w:name w:val="toc 3"/>
    <w:basedOn w:val="Normal"/>
    <w:next w:val="Normal"/>
    <w:autoRedefine/>
    <w:uiPriority w:val="39"/>
    <w:unhideWhenUsed/>
    <w:rsid w:val="00971E56"/>
    <w:pPr>
      <w:ind w:left="360"/>
    </w:pPr>
  </w:style>
  <w:style w:type="table" w:customStyle="1" w:styleId="Grilledutableau1">
    <w:name w:val="Grille du tableau1"/>
    <w:basedOn w:val="TableauNormal"/>
    <w:next w:val="Grilledutableau"/>
    <w:rsid w:val="00D072F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C0D9D"/>
    <w:rPr>
      <w:sz w:val="20"/>
    </w:rPr>
  </w:style>
  <w:style w:type="character" w:customStyle="1" w:styleId="NotedebasdepageCar">
    <w:name w:val="Note de bas de page Car"/>
    <w:basedOn w:val="Policepardfaut"/>
    <w:link w:val="Notedebasdepage"/>
    <w:uiPriority w:val="99"/>
    <w:rsid w:val="001C0D9D"/>
    <w:rPr>
      <w:rFonts w:ascii="Tahoma" w:eastAsia="Times New Roman" w:hAnsi="Tahoma" w:cs="Times New Roman"/>
      <w:sz w:val="20"/>
      <w:szCs w:val="20"/>
      <w:lang w:eastAsia="fr-FR"/>
    </w:rPr>
  </w:style>
  <w:style w:type="character" w:styleId="Appelnotedebasdep">
    <w:name w:val="footnote reference"/>
    <w:basedOn w:val="Policepardfaut"/>
    <w:uiPriority w:val="99"/>
    <w:semiHidden/>
    <w:unhideWhenUsed/>
    <w:rsid w:val="001C0D9D"/>
    <w:rPr>
      <w:vertAlign w:val="superscript"/>
    </w:rPr>
  </w:style>
  <w:style w:type="character" w:styleId="Marquedecommentaire">
    <w:name w:val="annotation reference"/>
    <w:basedOn w:val="Policepardfaut"/>
    <w:uiPriority w:val="99"/>
    <w:unhideWhenUsed/>
    <w:rsid w:val="00640E7A"/>
    <w:rPr>
      <w:sz w:val="16"/>
      <w:szCs w:val="16"/>
    </w:rPr>
  </w:style>
  <w:style w:type="paragraph" w:styleId="Commentaire">
    <w:name w:val="annotation text"/>
    <w:basedOn w:val="Normal"/>
    <w:link w:val="CommentaireCar"/>
    <w:uiPriority w:val="99"/>
    <w:unhideWhenUsed/>
    <w:rsid w:val="00640E7A"/>
    <w:rPr>
      <w:sz w:val="20"/>
    </w:rPr>
  </w:style>
  <w:style w:type="character" w:customStyle="1" w:styleId="CommentaireCar">
    <w:name w:val="Commentaire Car"/>
    <w:basedOn w:val="Policepardfaut"/>
    <w:link w:val="Commentaire"/>
    <w:uiPriority w:val="99"/>
    <w:rsid w:val="00640E7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0E7A"/>
    <w:rPr>
      <w:b/>
      <w:bCs/>
    </w:rPr>
  </w:style>
  <w:style w:type="character" w:customStyle="1" w:styleId="ObjetducommentaireCar">
    <w:name w:val="Objet du commentaire Car"/>
    <w:basedOn w:val="CommentaireCar"/>
    <w:link w:val="Objetducommentaire"/>
    <w:uiPriority w:val="99"/>
    <w:semiHidden/>
    <w:rsid w:val="00640E7A"/>
    <w:rPr>
      <w:rFonts w:ascii="Tahoma" w:eastAsia="Times New Roman" w:hAnsi="Tahoma" w:cs="Times New Roman"/>
      <w:b/>
      <w:bCs/>
      <w:sz w:val="20"/>
      <w:szCs w:val="20"/>
      <w:lang w:eastAsia="fr-FR"/>
    </w:rPr>
  </w:style>
  <w:style w:type="character" w:styleId="Lienhypertextesuivivisit">
    <w:name w:val="FollowedHyperlink"/>
    <w:basedOn w:val="Policepardfaut"/>
    <w:uiPriority w:val="99"/>
    <w:semiHidden/>
    <w:unhideWhenUsed/>
    <w:rsid w:val="005A32BF"/>
    <w:rPr>
      <w:color w:val="800080" w:themeColor="followedHyperlink"/>
      <w:u w:val="single"/>
    </w:rPr>
  </w:style>
  <w:style w:type="paragraph" w:styleId="z-Hautduformulaire">
    <w:name w:val="HTML Top of Form"/>
    <w:basedOn w:val="Normal"/>
    <w:next w:val="Normal"/>
    <w:link w:val="z-HautduformulaireCar"/>
    <w:hidden/>
    <w:uiPriority w:val="99"/>
    <w:semiHidden/>
    <w:unhideWhenUsed/>
    <w:rsid w:val="00A619F8"/>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
    <w:uiPriority w:val="99"/>
    <w:semiHidden/>
    <w:rsid w:val="00A619F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A619F8"/>
    <w:pPr>
      <w:pBdr>
        <w:top w:val="single" w:sz="6" w:space="1" w:color="auto"/>
      </w:pBdr>
      <w:jc w:val="center"/>
    </w:pPr>
    <w:rPr>
      <w:rFonts w:cs="Arial"/>
      <w:vanish/>
      <w:sz w:val="16"/>
      <w:szCs w:val="16"/>
    </w:rPr>
  </w:style>
  <w:style w:type="character" w:customStyle="1" w:styleId="z-BasduformulaireCar">
    <w:name w:val="z-Bas du formulaire Car"/>
    <w:basedOn w:val="Policepardfaut"/>
    <w:link w:val="z-Basduformulaire"/>
    <w:uiPriority w:val="99"/>
    <w:rsid w:val="00A619F8"/>
    <w:rPr>
      <w:rFonts w:ascii="Arial" w:eastAsia="Times New Roman" w:hAnsi="Arial" w:cs="Arial"/>
      <w:vanish/>
      <w:sz w:val="16"/>
      <w:szCs w:val="16"/>
      <w:lang w:eastAsia="fr-FR"/>
    </w:rPr>
  </w:style>
  <w:style w:type="character" w:customStyle="1" w:styleId="ng-binding">
    <w:name w:val="ng-binding"/>
    <w:basedOn w:val="Policepardfaut"/>
    <w:rsid w:val="00E815EC"/>
  </w:style>
  <w:style w:type="paragraph" w:customStyle="1" w:styleId="DecimalAligned">
    <w:name w:val="Decimal Aligned"/>
    <w:basedOn w:val="Normal"/>
    <w:uiPriority w:val="40"/>
    <w:qFormat/>
    <w:rsid w:val="00E85A08"/>
    <w:pPr>
      <w:tabs>
        <w:tab w:val="decimal" w:pos="360"/>
      </w:tabs>
      <w:spacing w:after="200" w:line="276" w:lineRule="auto"/>
    </w:pPr>
    <w:rPr>
      <w:rFonts w:asciiTheme="minorHAnsi" w:eastAsiaTheme="minorHAnsi" w:hAnsiTheme="minorHAnsi" w:cstheme="minorBidi"/>
      <w:sz w:val="22"/>
      <w:szCs w:val="22"/>
    </w:rPr>
  </w:style>
  <w:style w:type="character" w:styleId="Accentuationlgre">
    <w:name w:val="Subtle Emphasis"/>
    <w:basedOn w:val="Policepardfaut"/>
    <w:uiPriority w:val="19"/>
    <w:qFormat/>
    <w:rsid w:val="00E85A08"/>
    <w:rPr>
      <w:i/>
      <w:iCs/>
      <w:color w:val="7F7F7F" w:themeColor="text1" w:themeTint="80"/>
    </w:rPr>
  </w:style>
  <w:style w:type="table" w:styleId="Tramemoyenne2-Accent5">
    <w:name w:val="Medium Shading 2 Accent 5"/>
    <w:basedOn w:val="TableauNormal"/>
    <w:uiPriority w:val="64"/>
    <w:rsid w:val="00E85A08"/>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extecourant">
    <w:name w:val="texte courant"/>
    <w:basedOn w:val="Normal"/>
    <w:link w:val="textecourantCar"/>
    <w:rsid w:val="00D40EFC"/>
    <w:pPr>
      <w:spacing w:before="40" w:after="40" w:line="270" w:lineRule="exact"/>
      <w:ind w:firstLine="680"/>
      <w:jc w:val="both"/>
    </w:pPr>
    <w:rPr>
      <w:sz w:val="22"/>
    </w:rPr>
  </w:style>
  <w:style w:type="character" w:customStyle="1" w:styleId="textecourantCar">
    <w:name w:val="texte courant Car"/>
    <w:link w:val="textecourant"/>
    <w:rsid w:val="00D40EFC"/>
    <w:rPr>
      <w:rFonts w:ascii="Arial" w:eastAsia="Times New Roman" w:hAnsi="Arial" w:cs="Times New Roman"/>
      <w:szCs w:val="20"/>
      <w:lang w:eastAsia="fr-FR"/>
    </w:rPr>
  </w:style>
  <w:style w:type="character" w:styleId="Accentuation">
    <w:name w:val="Emphasis"/>
    <w:basedOn w:val="Policepardfaut"/>
    <w:qFormat/>
    <w:rsid w:val="00D40EFC"/>
    <w:rPr>
      <w:i/>
      <w:iCs/>
    </w:rPr>
  </w:style>
  <w:style w:type="paragraph" w:styleId="En-ttedetabledesmatires">
    <w:name w:val="TOC Heading"/>
    <w:basedOn w:val="Titre1"/>
    <w:next w:val="Normal"/>
    <w:uiPriority w:val="39"/>
    <w:unhideWhenUsed/>
    <w:qFormat/>
    <w:rsid w:val="005E720F"/>
    <w:pPr>
      <w:numPr>
        <w:numId w:val="0"/>
      </w:numPr>
      <w:spacing w:before="480" w:after="0"/>
      <w:outlineLvl w:val="9"/>
    </w:pPr>
    <w:rPr>
      <w:bCs w:val="0"/>
    </w:rPr>
  </w:style>
  <w:style w:type="table" w:styleId="Tramemoyenne1-Accent1">
    <w:name w:val="Medium Shading 1 Accent 1"/>
    <w:basedOn w:val="TableauNormal"/>
    <w:uiPriority w:val="63"/>
    <w:rsid w:val="00C97ED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vision">
    <w:name w:val="Revision"/>
    <w:hidden/>
    <w:uiPriority w:val="99"/>
    <w:semiHidden/>
    <w:rsid w:val="00531AD7"/>
    <w:pPr>
      <w:spacing w:after="0" w:line="240" w:lineRule="auto"/>
    </w:pPr>
    <w:rPr>
      <w:rFonts w:ascii="Tahoma" w:eastAsia="Times New Roman" w:hAnsi="Tahoma" w:cs="Times New Roman"/>
      <w:sz w:val="18"/>
      <w:szCs w:val="20"/>
      <w:lang w:eastAsia="fr-FR"/>
    </w:rPr>
  </w:style>
  <w:style w:type="table" w:styleId="Trameclaire-Accent1">
    <w:name w:val="Light Shading Accent 1"/>
    <w:basedOn w:val="TableauNormal"/>
    <w:uiPriority w:val="60"/>
    <w:rsid w:val="007650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NormalPuceD">
    <w:name w:val="1 - NormalPuce D"/>
    <w:basedOn w:val="Listecontinue2"/>
    <w:rsid w:val="00C86E74"/>
    <w:pPr>
      <w:numPr>
        <w:numId w:val="1"/>
      </w:numPr>
      <w:autoSpaceDE w:val="0"/>
      <w:autoSpaceDN w:val="0"/>
      <w:spacing w:before="80" w:after="80"/>
      <w:contextualSpacing w:val="0"/>
      <w:jc w:val="both"/>
    </w:pPr>
    <w:rPr>
      <w:rFonts w:ascii="Times New Roman" w:hAnsi="Times New Roman"/>
      <w:sz w:val="22"/>
    </w:rPr>
  </w:style>
  <w:style w:type="paragraph" w:styleId="Listecontinue2">
    <w:name w:val="List Continue 2"/>
    <w:basedOn w:val="Normal"/>
    <w:uiPriority w:val="99"/>
    <w:semiHidden/>
    <w:unhideWhenUsed/>
    <w:rsid w:val="00C86E74"/>
    <w:pPr>
      <w:spacing w:after="120"/>
      <w:ind w:left="566"/>
      <w:contextualSpacing/>
    </w:pPr>
  </w:style>
  <w:style w:type="paragraph" w:customStyle="1" w:styleId="Default">
    <w:name w:val="Default"/>
    <w:rsid w:val="00DE37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81CB8"/>
    <w:rPr>
      <w:rFonts w:ascii="Times New Roman" w:hAnsi="Times New Roman"/>
      <w:sz w:val="24"/>
      <w:szCs w:val="24"/>
    </w:rPr>
  </w:style>
  <w:style w:type="table" w:styleId="Listeclaire-Accent1">
    <w:name w:val="Light List Accent 1"/>
    <w:basedOn w:val="TableauNormal"/>
    <w:uiPriority w:val="61"/>
    <w:rsid w:val="001867F8"/>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lo">
    <w:name w:val="normallo"/>
    <w:link w:val="normalloCar"/>
    <w:rsid w:val="00663547"/>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663547"/>
    <w:rPr>
      <w:rFonts w:ascii="Tahoma" w:eastAsia="Times New Roman" w:hAnsi="Tahoma" w:cs="Tahoma"/>
      <w:noProof/>
      <w:sz w:val="18"/>
      <w:szCs w:val="18"/>
      <w:lang w:eastAsia="fr-FR"/>
    </w:rPr>
  </w:style>
  <w:style w:type="paragraph" w:styleId="Titre">
    <w:name w:val="Title"/>
    <w:basedOn w:val="Normal"/>
    <w:next w:val="Normal"/>
    <w:link w:val="TitreCar"/>
    <w:uiPriority w:val="10"/>
    <w:qFormat/>
    <w:rsid w:val="00C21C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21CBF"/>
    <w:rPr>
      <w:rFonts w:asciiTheme="majorHAnsi" w:eastAsiaTheme="majorEastAsia" w:hAnsiTheme="majorHAnsi" w:cstheme="majorBidi"/>
      <w:color w:val="17365D" w:themeColor="text2" w:themeShade="BF"/>
      <w:spacing w:val="5"/>
      <w:kern w:val="28"/>
      <w:sz w:val="52"/>
      <w:szCs w:val="52"/>
      <w:lang w:eastAsia="fr-FR"/>
    </w:rPr>
  </w:style>
  <w:style w:type="table" w:styleId="Grilleclaire-Accent1">
    <w:name w:val="Light Grid Accent 1"/>
    <w:basedOn w:val="TableauNormal"/>
    <w:uiPriority w:val="62"/>
    <w:rsid w:val="009633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umrodepage">
    <w:name w:val="page number"/>
    <w:basedOn w:val="Policepardfaut"/>
    <w:rsid w:val="005D150D"/>
  </w:style>
  <w:style w:type="character" w:customStyle="1" w:styleId="Mentionnonrsolue1">
    <w:name w:val="Mention non résolue1"/>
    <w:basedOn w:val="Policepardfaut"/>
    <w:uiPriority w:val="99"/>
    <w:semiHidden/>
    <w:unhideWhenUsed/>
    <w:rsid w:val="00233665"/>
    <w:rPr>
      <w:color w:val="605E5C"/>
      <w:shd w:val="clear" w:color="auto" w:fill="E1DFDD"/>
    </w:rPr>
  </w:style>
  <w:style w:type="table" w:customStyle="1" w:styleId="Grilledutableau2">
    <w:name w:val="Grille du tableau2"/>
    <w:basedOn w:val="TableauNormal"/>
    <w:next w:val="Grilledutableau"/>
    <w:rsid w:val="00380C05"/>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051">
      <w:bodyDiv w:val="1"/>
      <w:marLeft w:val="0"/>
      <w:marRight w:val="0"/>
      <w:marTop w:val="0"/>
      <w:marBottom w:val="0"/>
      <w:divBdr>
        <w:top w:val="none" w:sz="0" w:space="0" w:color="auto"/>
        <w:left w:val="none" w:sz="0" w:space="0" w:color="auto"/>
        <w:bottom w:val="none" w:sz="0" w:space="0" w:color="auto"/>
        <w:right w:val="none" w:sz="0" w:space="0" w:color="auto"/>
      </w:divBdr>
    </w:div>
    <w:div w:id="8990394">
      <w:bodyDiv w:val="1"/>
      <w:marLeft w:val="0"/>
      <w:marRight w:val="0"/>
      <w:marTop w:val="0"/>
      <w:marBottom w:val="0"/>
      <w:divBdr>
        <w:top w:val="none" w:sz="0" w:space="0" w:color="auto"/>
        <w:left w:val="none" w:sz="0" w:space="0" w:color="auto"/>
        <w:bottom w:val="none" w:sz="0" w:space="0" w:color="auto"/>
        <w:right w:val="none" w:sz="0" w:space="0" w:color="auto"/>
      </w:divBdr>
      <w:divsChild>
        <w:div w:id="1757902729">
          <w:marLeft w:val="0"/>
          <w:marRight w:val="0"/>
          <w:marTop w:val="0"/>
          <w:marBottom w:val="525"/>
          <w:divBdr>
            <w:top w:val="none" w:sz="0" w:space="0" w:color="auto"/>
            <w:left w:val="none" w:sz="0" w:space="0" w:color="auto"/>
            <w:bottom w:val="none" w:sz="0" w:space="0" w:color="auto"/>
            <w:right w:val="none" w:sz="0" w:space="0" w:color="auto"/>
          </w:divBdr>
          <w:divsChild>
            <w:div w:id="734621066">
              <w:marLeft w:val="0"/>
              <w:marRight w:val="0"/>
              <w:marTop w:val="0"/>
              <w:marBottom w:val="0"/>
              <w:divBdr>
                <w:top w:val="single" w:sz="6" w:space="15" w:color="E4E4E5"/>
                <w:left w:val="single" w:sz="6" w:space="15" w:color="E4E4E5"/>
                <w:bottom w:val="single" w:sz="6" w:space="15" w:color="E4E4E5"/>
                <w:right w:val="single" w:sz="6" w:space="15" w:color="E4E4E5"/>
              </w:divBdr>
              <w:divsChild>
                <w:div w:id="673067119">
                  <w:marLeft w:val="0"/>
                  <w:marRight w:val="0"/>
                  <w:marTop w:val="0"/>
                  <w:marBottom w:val="0"/>
                  <w:divBdr>
                    <w:top w:val="none" w:sz="0" w:space="0" w:color="auto"/>
                    <w:left w:val="none" w:sz="0" w:space="0" w:color="auto"/>
                    <w:bottom w:val="none" w:sz="0" w:space="0" w:color="auto"/>
                    <w:right w:val="none" w:sz="0" w:space="0" w:color="auto"/>
                  </w:divBdr>
                  <w:divsChild>
                    <w:div w:id="1879507371">
                      <w:marLeft w:val="0"/>
                      <w:marRight w:val="0"/>
                      <w:marTop w:val="0"/>
                      <w:marBottom w:val="0"/>
                      <w:divBdr>
                        <w:top w:val="none" w:sz="0" w:space="0" w:color="auto"/>
                        <w:left w:val="none" w:sz="0" w:space="0" w:color="auto"/>
                        <w:bottom w:val="none" w:sz="0" w:space="0" w:color="auto"/>
                        <w:right w:val="none" w:sz="0" w:space="0" w:color="auto"/>
                      </w:divBdr>
                    </w:div>
                    <w:div w:id="387654168">
                      <w:marLeft w:val="0"/>
                      <w:marRight w:val="0"/>
                      <w:marTop w:val="0"/>
                      <w:marBottom w:val="0"/>
                      <w:divBdr>
                        <w:top w:val="none" w:sz="0" w:space="0" w:color="auto"/>
                        <w:left w:val="none" w:sz="0" w:space="0" w:color="auto"/>
                        <w:bottom w:val="none" w:sz="0" w:space="0" w:color="auto"/>
                        <w:right w:val="none" w:sz="0" w:space="0" w:color="auto"/>
                      </w:divBdr>
                    </w:div>
                    <w:div w:id="19661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52">
      <w:bodyDiv w:val="1"/>
      <w:marLeft w:val="0"/>
      <w:marRight w:val="0"/>
      <w:marTop w:val="0"/>
      <w:marBottom w:val="0"/>
      <w:divBdr>
        <w:top w:val="none" w:sz="0" w:space="0" w:color="auto"/>
        <w:left w:val="none" w:sz="0" w:space="0" w:color="auto"/>
        <w:bottom w:val="none" w:sz="0" w:space="0" w:color="auto"/>
        <w:right w:val="none" w:sz="0" w:space="0" w:color="auto"/>
      </w:divBdr>
    </w:div>
    <w:div w:id="26029424">
      <w:bodyDiv w:val="1"/>
      <w:marLeft w:val="0"/>
      <w:marRight w:val="0"/>
      <w:marTop w:val="0"/>
      <w:marBottom w:val="0"/>
      <w:divBdr>
        <w:top w:val="none" w:sz="0" w:space="0" w:color="auto"/>
        <w:left w:val="none" w:sz="0" w:space="0" w:color="auto"/>
        <w:bottom w:val="none" w:sz="0" w:space="0" w:color="auto"/>
        <w:right w:val="none" w:sz="0" w:space="0" w:color="auto"/>
      </w:divBdr>
    </w:div>
    <w:div w:id="54862649">
      <w:bodyDiv w:val="1"/>
      <w:marLeft w:val="0"/>
      <w:marRight w:val="0"/>
      <w:marTop w:val="0"/>
      <w:marBottom w:val="0"/>
      <w:divBdr>
        <w:top w:val="none" w:sz="0" w:space="0" w:color="auto"/>
        <w:left w:val="none" w:sz="0" w:space="0" w:color="auto"/>
        <w:bottom w:val="none" w:sz="0" w:space="0" w:color="auto"/>
        <w:right w:val="none" w:sz="0" w:space="0" w:color="auto"/>
      </w:divBdr>
    </w:div>
    <w:div w:id="88937863">
      <w:bodyDiv w:val="1"/>
      <w:marLeft w:val="0"/>
      <w:marRight w:val="0"/>
      <w:marTop w:val="0"/>
      <w:marBottom w:val="0"/>
      <w:divBdr>
        <w:top w:val="none" w:sz="0" w:space="0" w:color="auto"/>
        <w:left w:val="none" w:sz="0" w:space="0" w:color="auto"/>
        <w:bottom w:val="none" w:sz="0" w:space="0" w:color="auto"/>
        <w:right w:val="none" w:sz="0" w:space="0" w:color="auto"/>
      </w:divBdr>
    </w:div>
    <w:div w:id="96828649">
      <w:bodyDiv w:val="1"/>
      <w:marLeft w:val="0"/>
      <w:marRight w:val="0"/>
      <w:marTop w:val="0"/>
      <w:marBottom w:val="0"/>
      <w:divBdr>
        <w:top w:val="none" w:sz="0" w:space="0" w:color="auto"/>
        <w:left w:val="none" w:sz="0" w:space="0" w:color="auto"/>
        <w:bottom w:val="none" w:sz="0" w:space="0" w:color="auto"/>
        <w:right w:val="none" w:sz="0" w:space="0" w:color="auto"/>
      </w:divBdr>
    </w:div>
    <w:div w:id="104466036">
      <w:bodyDiv w:val="1"/>
      <w:marLeft w:val="0"/>
      <w:marRight w:val="0"/>
      <w:marTop w:val="0"/>
      <w:marBottom w:val="0"/>
      <w:divBdr>
        <w:top w:val="none" w:sz="0" w:space="0" w:color="auto"/>
        <w:left w:val="none" w:sz="0" w:space="0" w:color="auto"/>
        <w:bottom w:val="none" w:sz="0" w:space="0" w:color="auto"/>
        <w:right w:val="none" w:sz="0" w:space="0" w:color="auto"/>
      </w:divBdr>
    </w:div>
    <w:div w:id="116724486">
      <w:bodyDiv w:val="1"/>
      <w:marLeft w:val="0"/>
      <w:marRight w:val="0"/>
      <w:marTop w:val="0"/>
      <w:marBottom w:val="0"/>
      <w:divBdr>
        <w:top w:val="none" w:sz="0" w:space="0" w:color="auto"/>
        <w:left w:val="none" w:sz="0" w:space="0" w:color="auto"/>
        <w:bottom w:val="none" w:sz="0" w:space="0" w:color="auto"/>
        <w:right w:val="none" w:sz="0" w:space="0" w:color="auto"/>
      </w:divBdr>
    </w:div>
    <w:div w:id="117116441">
      <w:bodyDiv w:val="1"/>
      <w:marLeft w:val="0"/>
      <w:marRight w:val="0"/>
      <w:marTop w:val="0"/>
      <w:marBottom w:val="0"/>
      <w:divBdr>
        <w:top w:val="none" w:sz="0" w:space="0" w:color="auto"/>
        <w:left w:val="none" w:sz="0" w:space="0" w:color="auto"/>
        <w:bottom w:val="none" w:sz="0" w:space="0" w:color="auto"/>
        <w:right w:val="none" w:sz="0" w:space="0" w:color="auto"/>
      </w:divBdr>
    </w:div>
    <w:div w:id="179247164">
      <w:bodyDiv w:val="1"/>
      <w:marLeft w:val="0"/>
      <w:marRight w:val="0"/>
      <w:marTop w:val="0"/>
      <w:marBottom w:val="0"/>
      <w:divBdr>
        <w:top w:val="none" w:sz="0" w:space="0" w:color="auto"/>
        <w:left w:val="none" w:sz="0" w:space="0" w:color="auto"/>
        <w:bottom w:val="none" w:sz="0" w:space="0" w:color="auto"/>
        <w:right w:val="none" w:sz="0" w:space="0" w:color="auto"/>
      </w:divBdr>
    </w:div>
    <w:div w:id="181938346">
      <w:bodyDiv w:val="1"/>
      <w:marLeft w:val="0"/>
      <w:marRight w:val="0"/>
      <w:marTop w:val="0"/>
      <w:marBottom w:val="0"/>
      <w:divBdr>
        <w:top w:val="none" w:sz="0" w:space="0" w:color="auto"/>
        <w:left w:val="none" w:sz="0" w:space="0" w:color="auto"/>
        <w:bottom w:val="none" w:sz="0" w:space="0" w:color="auto"/>
        <w:right w:val="none" w:sz="0" w:space="0" w:color="auto"/>
      </w:divBdr>
    </w:div>
    <w:div w:id="185604474">
      <w:bodyDiv w:val="1"/>
      <w:marLeft w:val="0"/>
      <w:marRight w:val="0"/>
      <w:marTop w:val="0"/>
      <w:marBottom w:val="0"/>
      <w:divBdr>
        <w:top w:val="none" w:sz="0" w:space="0" w:color="auto"/>
        <w:left w:val="none" w:sz="0" w:space="0" w:color="auto"/>
        <w:bottom w:val="none" w:sz="0" w:space="0" w:color="auto"/>
        <w:right w:val="none" w:sz="0" w:space="0" w:color="auto"/>
      </w:divBdr>
    </w:div>
    <w:div w:id="185676699">
      <w:bodyDiv w:val="1"/>
      <w:marLeft w:val="0"/>
      <w:marRight w:val="0"/>
      <w:marTop w:val="0"/>
      <w:marBottom w:val="0"/>
      <w:divBdr>
        <w:top w:val="none" w:sz="0" w:space="0" w:color="auto"/>
        <w:left w:val="none" w:sz="0" w:space="0" w:color="auto"/>
        <w:bottom w:val="none" w:sz="0" w:space="0" w:color="auto"/>
        <w:right w:val="none" w:sz="0" w:space="0" w:color="auto"/>
      </w:divBdr>
    </w:div>
    <w:div w:id="198590423">
      <w:bodyDiv w:val="1"/>
      <w:marLeft w:val="0"/>
      <w:marRight w:val="0"/>
      <w:marTop w:val="0"/>
      <w:marBottom w:val="0"/>
      <w:divBdr>
        <w:top w:val="none" w:sz="0" w:space="0" w:color="auto"/>
        <w:left w:val="none" w:sz="0" w:space="0" w:color="auto"/>
        <w:bottom w:val="none" w:sz="0" w:space="0" w:color="auto"/>
        <w:right w:val="none" w:sz="0" w:space="0" w:color="auto"/>
      </w:divBdr>
    </w:div>
    <w:div w:id="200898576">
      <w:bodyDiv w:val="1"/>
      <w:marLeft w:val="0"/>
      <w:marRight w:val="0"/>
      <w:marTop w:val="0"/>
      <w:marBottom w:val="0"/>
      <w:divBdr>
        <w:top w:val="none" w:sz="0" w:space="0" w:color="auto"/>
        <w:left w:val="none" w:sz="0" w:space="0" w:color="auto"/>
        <w:bottom w:val="none" w:sz="0" w:space="0" w:color="auto"/>
        <w:right w:val="none" w:sz="0" w:space="0" w:color="auto"/>
      </w:divBdr>
    </w:div>
    <w:div w:id="203712060">
      <w:bodyDiv w:val="1"/>
      <w:marLeft w:val="0"/>
      <w:marRight w:val="0"/>
      <w:marTop w:val="0"/>
      <w:marBottom w:val="0"/>
      <w:divBdr>
        <w:top w:val="none" w:sz="0" w:space="0" w:color="auto"/>
        <w:left w:val="none" w:sz="0" w:space="0" w:color="auto"/>
        <w:bottom w:val="none" w:sz="0" w:space="0" w:color="auto"/>
        <w:right w:val="none" w:sz="0" w:space="0" w:color="auto"/>
      </w:divBdr>
    </w:div>
    <w:div w:id="223836179">
      <w:bodyDiv w:val="1"/>
      <w:marLeft w:val="0"/>
      <w:marRight w:val="0"/>
      <w:marTop w:val="0"/>
      <w:marBottom w:val="0"/>
      <w:divBdr>
        <w:top w:val="none" w:sz="0" w:space="0" w:color="auto"/>
        <w:left w:val="none" w:sz="0" w:space="0" w:color="auto"/>
        <w:bottom w:val="none" w:sz="0" w:space="0" w:color="auto"/>
        <w:right w:val="none" w:sz="0" w:space="0" w:color="auto"/>
      </w:divBdr>
    </w:div>
    <w:div w:id="224221758">
      <w:bodyDiv w:val="1"/>
      <w:marLeft w:val="0"/>
      <w:marRight w:val="0"/>
      <w:marTop w:val="0"/>
      <w:marBottom w:val="0"/>
      <w:divBdr>
        <w:top w:val="none" w:sz="0" w:space="0" w:color="auto"/>
        <w:left w:val="none" w:sz="0" w:space="0" w:color="auto"/>
        <w:bottom w:val="none" w:sz="0" w:space="0" w:color="auto"/>
        <w:right w:val="none" w:sz="0" w:space="0" w:color="auto"/>
      </w:divBdr>
    </w:div>
    <w:div w:id="238255308">
      <w:bodyDiv w:val="1"/>
      <w:marLeft w:val="0"/>
      <w:marRight w:val="0"/>
      <w:marTop w:val="0"/>
      <w:marBottom w:val="0"/>
      <w:divBdr>
        <w:top w:val="none" w:sz="0" w:space="0" w:color="auto"/>
        <w:left w:val="none" w:sz="0" w:space="0" w:color="auto"/>
        <w:bottom w:val="none" w:sz="0" w:space="0" w:color="auto"/>
        <w:right w:val="none" w:sz="0" w:space="0" w:color="auto"/>
      </w:divBdr>
    </w:div>
    <w:div w:id="238516238">
      <w:bodyDiv w:val="1"/>
      <w:marLeft w:val="0"/>
      <w:marRight w:val="0"/>
      <w:marTop w:val="0"/>
      <w:marBottom w:val="0"/>
      <w:divBdr>
        <w:top w:val="none" w:sz="0" w:space="0" w:color="auto"/>
        <w:left w:val="none" w:sz="0" w:space="0" w:color="auto"/>
        <w:bottom w:val="none" w:sz="0" w:space="0" w:color="auto"/>
        <w:right w:val="none" w:sz="0" w:space="0" w:color="auto"/>
      </w:divBdr>
    </w:div>
    <w:div w:id="243535045">
      <w:bodyDiv w:val="1"/>
      <w:marLeft w:val="0"/>
      <w:marRight w:val="0"/>
      <w:marTop w:val="0"/>
      <w:marBottom w:val="0"/>
      <w:divBdr>
        <w:top w:val="none" w:sz="0" w:space="0" w:color="auto"/>
        <w:left w:val="none" w:sz="0" w:space="0" w:color="auto"/>
        <w:bottom w:val="none" w:sz="0" w:space="0" w:color="auto"/>
        <w:right w:val="none" w:sz="0" w:space="0" w:color="auto"/>
      </w:divBdr>
    </w:div>
    <w:div w:id="247085710">
      <w:bodyDiv w:val="1"/>
      <w:marLeft w:val="0"/>
      <w:marRight w:val="0"/>
      <w:marTop w:val="0"/>
      <w:marBottom w:val="0"/>
      <w:divBdr>
        <w:top w:val="none" w:sz="0" w:space="0" w:color="auto"/>
        <w:left w:val="none" w:sz="0" w:space="0" w:color="auto"/>
        <w:bottom w:val="none" w:sz="0" w:space="0" w:color="auto"/>
        <w:right w:val="none" w:sz="0" w:space="0" w:color="auto"/>
      </w:divBdr>
      <w:divsChild>
        <w:div w:id="1581016595">
          <w:marLeft w:val="0"/>
          <w:marRight w:val="0"/>
          <w:marTop w:val="0"/>
          <w:marBottom w:val="525"/>
          <w:divBdr>
            <w:top w:val="none" w:sz="0" w:space="0" w:color="auto"/>
            <w:left w:val="none" w:sz="0" w:space="0" w:color="auto"/>
            <w:bottom w:val="none" w:sz="0" w:space="0" w:color="auto"/>
            <w:right w:val="none" w:sz="0" w:space="0" w:color="auto"/>
          </w:divBdr>
          <w:divsChild>
            <w:div w:id="99184727">
              <w:marLeft w:val="0"/>
              <w:marRight w:val="0"/>
              <w:marTop w:val="0"/>
              <w:marBottom w:val="0"/>
              <w:divBdr>
                <w:top w:val="single" w:sz="6" w:space="15" w:color="E4E4E5"/>
                <w:left w:val="single" w:sz="6" w:space="15" w:color="E4E4E5"/>
                <w:bottom w:val="single" w:sz="6" w:space="15" w:color="E4E4E5"/>
                <w:right w:val="single" w:sz="6" w:space="15" w:color="E4E4E5"/>
              </w:divBdr>
              <w:divsChild>
                <w:div w:id="12333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0594">
      <w:bodyDiv w:val="1"/>
      <w:marLeft w:val="0"/>
      <w:marRight w:val="0"/>
      <w:marTop w:val="0"/>
      <w:marBottom w:val="0"/>
      <w:divBdr>
        <w:top w:val="none" w:sz="0" w:space="0" w:color="auto"/>
        <w:left w:val="none" w:sz="0" w:space="0" w:color="auto"/>
        <w:bottom w:val="none" w:sz="0" w:space="0" w:color="auto"/>
        <w:right w:val="none" w:sz="0" w:space="0" w:color="auto"/>
      </w:divBdr>
    </w:div>
    <w:div w:id="307134264">
      <w:bodyDiv w:val="1"/>
      <w:marLeft w:val="0"/>
      <w:marRight w:val="0"/>
      <w:marTop w:val="0"/>
      <w:marBottom w:val="0"/>
      <w:divBdr>
        <w:top w:val="none" w:sz="0" w:space="0" w:color="auto"/>
        <w:left w:val="none" w:sz="0" w:space="0" w:color="auto"/>
        <w:bottom w:val="none" w:sz="0" w:space="0" w:color="auto"/>
        <w:right w:val="none" w:sz="0" w:space="0" w:color="auto"/>
      </w:divBdr>
    </w:div>
    <w:div w:id="326131785">
      <w:bodyDiv w:val="1"/>
      <w:marLeft w:val="0"/>
      <w:marRight w:val="0"/>
      <w:marTop w:val="0"/>
      <w:marBottom w:val="0"/>
      <w:divBdr>
        <w:top w:val="none" w:sz="0" w:space="0" w:color="auto"/>
        <w:left w:val="none" w:sz="0" w:space="0" w:color="auto"/>
        <w:bottom w:val="none" w:sz="0" w:space="0" w:color="auto"/>
        <w:right w:val="none" w:sz="0" w:space="0" w:color="auto"/>
      </w:divBdr>
    </w:div>
    <w:div w:id="334236363">
      <w:bodyDiv w:val="1"/>
      <w:marLeft w:val="0"/>
      <w:marRight w:val="0"/>
      <w:marTop w:val="0"/>
      <w:marBottom w:val="0"/>
      <w:divBdr>
        <w:top w:val="none" w:sz="0" w:space="0" w:color="auto"/>
        <w:left w:val="none" w:sz="0" w:space="0" w:color="auto"/>
        <w:bottom w:val="none" w:sz="0" w:space="0" w:color="auto"/>
        <w:right w:val="none" w:sz="0" w:space="0" w:color="auto"/>
      </w:divBdr>
    </w:div>
    <w:div w:id="336545393">
      <w:bodyDiv w:val="1"/>
      <w:marLeft w:val="0"/>
      <w:marRight w:val="0"/>
      <w:marTop w:val="0"/>
      <w:marBottom w:val="0"/>
      <w:divBdr>
        <w:top w:val="none" w:sz="0" w:space="0" w:color="auto"/>
        <w:left w:val="none" w:sz="0" w:space="0" w:color="auto"/>
        <w:bottom w:val="none" w:sz="0" w:space="0" w:color="auto"/>
        <w:right w:val="none" w:sz="0" w:space="0" w:color="auto"/>
      </w:divBdr>
    </w:div>
    <w:div w:id="339550166">
      <w:bodyDiv w:val="1"/>
      <w:marLeft w:val="0"/>
      <w:marRight w:val="0"/>
      <w:marTop w:val="0"/>
      <w:marBottom w:val="0"/>
      <w:divBdr>
        <w:top w:val="none" w:sz="0" w:space="0" w:color="auto"/>
        <w:left w:val="none" w:sz="0" w:space="0" w:color="auto"/>
        <w:bottom w:val="none" w:sz="0" w:space="0" w:color="auto"/>
        <w:right w:val="none" w:sz="0" w:space="0" w:color="auto"/>
      </w:divBdr>
    </w:div>
    <w:div w:id="381254781">
      <w:bodyDiv w:val="1"/>
      <w:marLeft w:val="0"/>
      <w:marRight w:val="0"/>
      <w:marTop w:val="0"/>
      <w:marBottom w:val="0"/>
      <w:divBdr>
        <w:top w:val="none" w:sz="0" w:space="0" w:color="auto"/>
        <w:left w:val="none" w:sz="0" w:space="0" w:color="auto"/>
        <w:bottom w:val="none" w:sz="0" w:space="0" w:color="auto"/>
        <w:right w:val="none" w:sz="0" w:space="0" w:color="auto"/>
      </w:divBdr>
    </w:div>
    <w:div w:id="412360984">
      <w:bodyDiv w:val="1"/>
      <w:marLeft w:val="0"/>
      <w:marRight w:val="0"/>
      <w:marTop w:val="0"/>
      <w:marBottom w:val="0"/>
      <w:divBdr>
        <w:top w:val="none" w:sz="0" w:space="0" w:color="auto"/>
        <w:left w:val="none" w:sz="0" w:space="0" w:color="auto"/>
        <w:bottom w:val="none" w:sz="0" w:space="0" w:color="auto"/>
        <w:right w:val="none" w:sz="0" w:space="0" w:color="auto"/>
      </w:divBdr>
    </w:div>
    <w:div w:id="417019805">
      <w:bodyDiv w:val="1"/>
      <w:marLeft w:val="0"/>
      <w:marRight w:val="0"/>
      <w:marTop w:val="0"/>
      <w:marBottom w:val="0"/>
      <w:divBdr>
        <w:top w:val="none" w:sz="0" w:space="0" w:color="auto"/>
        <w:left w:val="none" w:sz="0" w:space="0" w:color="auto"/>
        <w:bottom w:val="none" w:sz="0" w:space="0" w:color="auto"/>
        <w:right w:val="none" w:sz="0" w:space="0" w:color="auto"/>
      </w:divBdr>
    </w:div>
    <w:div w:id="434449687">
      <w:bodyDiv w:val="1"/>
      <w:marLeft w:val="0"/>
      <w:marRight w:val="0"/>
      <w:marTop w:val="0"/>
      <w:marBottom w:val="0"/>
      <w:divBdr>
        <w:top w:val="none" w:sz="0" w:space="0" w:color="auto"/>
        <w:left w:val="none" w:sz="0" w:space="0" w:color="auto"/>
        <w:bottom w:val="none" w:sz="0" w:space="0" w:color="auto"/>
        <w:right w:val="none" w:sz="0" w:space="0" w:color="auto"/>
      </w:divBdr>
    </w:div>
    <w:div w:id="452870575">
      <w:bodyDiv w:val="1"/>
      <w:marLeft w:val="0"/>
      <w:marRight w:val="0"/>
      <w:marTop w:val="0"/>
      <w:marBottom w:val="0"/>
      <w:divBdr>
        <w:top w:val="none" w:sz="0" w:space="0" w:color="auto"/>
        <w:left w:val="none" w:sz="0" w:space="0" w:color="auto"/>
        <w:bottom w:val="none" w:sz="0" w:space="0" w:color="auto"/>
        <w:right w:val="none" w:sz="0" w:space="0" w:color="auto"/>
      </w:divBdr>
    </w:div>
    <w:div w:id="459886240">
      <w:bodyDiv w:val="1"/>
      <w:marLeft w:val="0"/>
      <w:marRight w:val="0"/>
      <w:marTop w:val="0"/>
      <w:marBottom w:val="0"/>
      <w:divBdr>
        <w:top w:val="none" w:sz="0" w:space="0" w:color="auto"/>
        <w:left w:val="none" w:sz="0" w:space="0" w:color="auto"/>
        <w:bottom w:val="none" w:sz="0" w:space="0" w:color="auto"/>
        <w:right w:val="none" w:sz="0" w:space="0" w:color="auto"/>
      </w:divBdr>
    </w:div>
    <w:div w:id="464860594">
      <w:bodyDiv w:val="1"/>
      <w:marLeft w:val="0"/>
      <w:marRight w:val="0"/>
      <w:marTop w:val="0"/>
      <w:marBottom w:val="0"/>
      <w:divBdr>
        <w:top w:val="none" w:sz="0" w:space="0" w:color="auto"/>
        <w:left w:val="none" w:sz="0" w:space="0" w:color="auto"/>
        <w:bottom w:val="none" w:sz="0" w:space="0" w:color="auto"/>
        <w:right w:val="none" w:sz="0" w:space="0" w:color="auto"/>
      </w:divBdr>
    </w:div>
    <w:div w:id="467938464">
      <w:bodyDiv w:val="1"/>
      <w:marLeft w:val="0"/>
      <w:marRight w:val="0"/>
      <w:marTop w:val="0"/>
      <w:marBottom w:val="0"/>
      <w:divBdr>
        <w:top w:val="none" w:sz="0" w:space="0" w:color="auto"/>
        <w:left w:val="none" w:sz="0" w:space="0" w:color="auto"/>
        <w:bottom w:val="none" w:sz="0" w:space="0" w:color="auto"/>
        <w:right w:val="none" w:sz="0" w:space="0" w:color="auto"/>
      </w:divBdr>
    </w:div>
    <w:div w:id="472868685">
      <w:bodyDiv w:val="1"/>
      <w:marLeft w:val="0"/>
      <w:marRight w:val="0"/>
      <w:marTop w:val="0"/>
      <w:marBottom w:val="0"/>
      <w:divBdr>
        <w:top w:val="none" w:sz="0" w:space="0" w:color="auto"/>
        <w:left w:val="none" w:sz="0" w:space="0" w:color="auto"/>
        <w:bottom w:val="none" w:sz="0" w:space="0" w:color="auto"/>
        <w:right w:val="none" w:sz="0" w:space="0" w:color="auto"/>
      </w:divBdr>
    </w:div>
    <w:div w:id="472868865">
      <w:bodyDiv w:val="1"/>
      <w:marLeft w:val="0"/>
      <w:marRight w:val="0"/>
      <w:marTop w:val="0"/>
      <w:marBottom w:val="0"/>
      <w:divBdr>
        <w:top w:val="none" w:sz="0" w:space="0" w:color="auto"/>
        <w:left w:val="none" w:sz="0" w:space="0" w:color="auto"/>
        <w:bottom w:val="none" w:sz="0" w:space="0" w:color="auto"/>
        <w:right w:val="none" w:sz="0" w:space="0" w:color="auto"/>
      </w:divBdr>
    </w:div>
    <w:div w:id="507255341">
      <w:bodyDiv w:val="1"/>
      <w:marLeft w:val="0"/>
      <w:marRight w:val="0"/>
      <w:marTop w:val="0"/>
      <w:marBottom w:val="0"/>
      <w:divBdr>
        <w:top w:val="none" w:sz="0" w:space="0" w:color="auto"/>
        <w:left w:val="none" w:sz="0" w:space="0" w:color="auto"/>
        <w:bottom w:val="none" w:sz="0" w:space="0" w:color="auto"/>
        <w:right w:val="none" w:sz="0" w:space="0" w:color="auto"/>
      </w:divBdr>
    </w:div>
    <w:div w:id="528763088">
      <w:bodyDiv w:val="1"/>
      <w:marLeft w:val="0"/>
      <w:marRight w:val="0"/>
      <w:marTop w:val="0"/>
      <w:marBottom w:val="0"/>
      <w:divBdr>
        <w:top w:val="none" w:sz="0" w:space="0" w:color="auto"/>
        <w:left w:val="none" w:sz="0" w:space="0" w:color="auto"/>
        <w:bottom w:val="none" w:sz="0" w:space="0" w:color="auto"/>
        <w:right w:val="none" w:sz="0" w:space="0" w:color="auto"/>
      </w:divBdr>
    </w:div>
    <w:div w:id="548690307">
      <w:bodyDiv w:val="1"/>
      <w:marLeft w:val="0"/>
      <w:marRight w:val="0"/>
      <w:marTop w:val="0"/>
      <w:marBottom w:val="0"/>
      <w:divBdr>
        <w:top w:val="none" w:sz="0" w:space="0" w:color="auto"/>
        <w:left w:val="none" w:sz="0" w:space="0" w:color="auto"/>
        <w:bottom w:val="none" w:sz="0" w:space="0" w:color="auto"/>
        <w:right w:val="none" w:sz="0" w:space="0" w:color="auto"/>
      </w:divBdr>
      <w:divsChild>
        <w:div w:id="118308986">
          <w:marLeft w:val="0"/>
          <w:marRight w:val="0"/>
          <w:marTop w:val="0"/>
          <w:marBottom w:val="0"/>
          <w:divBdr>
            <w:top w:val="none" w:sz="0" w:space="0" w:color="auto"/>
            <w:left w:val="none" w:sz="0" w:space="0" w:color="auto"/>
            <w:bottom w:val="none" w:sz="0" w:space="0" w:color="auto"/>
            <w:right w:val="none" w:sz="0" w:space="0" w:color="auto"/>
          </w:divBdr>
          <w:divsChild>
            <w:div w:id="486897104">
              <w:marLeft w:val="0"/>
              <w:marRight w:val="0"/>
              <w:marTop w:val="0"/>
              <w:marBottom w:val="0"/>
              <w:divBdr>
                <w:top w:val="none" w:sz="0" w:space="0" w:color="auto"/>
                <w:left w:val="none" w:sz="0" w:space="0" w:color="auto"/>
                <w:bottom w:val="none" w:sz="0" w:space="0" w:color="auto"/>
                <w:right w:val="none" w:sz="0" w:space="0" w:color="auto"/>
              </w:divBdr>
              <w:divsChild>
                <w:div w:id="1948342459">
                  <w:marLeft w:val="0"/>
                  <w:marRight w:val="0"/>
                  <w:marTop w:val="0"/>
                  <w:marBottom w:val="0"/>
                  <w:divBdr>
                    <w:top w:val="none" w:sz="0" w:space="0" w:color="auto"/>
                    <w:left w:val="none" w:sz="0" w:space="0" w:color="auto"/>
                    <w:bottom w:val="none" w:sz="0" w:space="0" w:color="auto"/>
                    <w:right w:val="none" w:sz="0" w:space="0" w:color="auto"/>
                  </w:divBdr>
                </w:div>
              </w:divsChild>
            </w:div>
            <w:div w:id="910849460">
              <w:marLeft w:val="0"/>
              <w:marRight w:val="0"/>
              <w:marTop w:val="0"/>
              <w:marBottom w:val="0"/>
              <w:divBdr>
                <w:top w:val="none" w:sz="0" w:space="0" w:color="auto"/>
                <w:left w:val="none" w:sz="0" w:space="0" w:color="auto"/>
                <w:bottom w:val="none" w:sz="0" w:space="0" w:color="auto"/>
                <w:right w:val="none" w:sz="0" w:space="0" w:color="auto"/>
              </w:divBdr>
              <w:divsChild>
                <w:div w:id="1749887047">
                  <w:marLeft w:val="0"/>
                  <w:marRight w:val="0"/>
                  <w:marTop w:val="0"/>
                  <w:marBottom w:val="0"/>
                  <w:divBdr>
                    <w:top w:val="none" w:sz="0" w:space="0" w:color="auto"/>
                    <w:left w:val="none" w:sz="0" w:space="0" w:color="auto"/>
                    <w:bottom w:val="none" w:sz="0" w:space="0" w:color="auto"/>
                    <w:right w:val="none" w:sz="0" w:space="0" w:color="auto"/>
                  </w:divBdr>
                </w:div>
              </w:divsChild>
            </w:div>
            <w:div w:id="221913885">
              <w:marLeft w:val="0"/>
              <w:marRight w:val="0"/>
              <w:marTop w:val="0"/>
              <w:marBottom w:val="0"/>
              <w:divBdr>
                <w:top w:val="none" w:sz="0" w:space="0" w:color="auto"/>
                <w:left w:val="none" w:sz="0" w:space="0" w:color="auto"/>
                <w:bottom w:val="none" w:sz="0" w:space="0" w:color="auto"/>
                <w:right w:val="none" w:sz="0" w:space="0" w:color="auto"/>
              </w:divBdr>
              <w:divsChild>
                <w:div w:id="7179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7378">
      <w:bodyDiv w:val="1"/>
      <w:marLeft w:val="0"/>
      <w:marRight w:val="0"/>
      <w:marTop w:val="0"/>
      <w:marBottom w:val="0"/>
      <w:divBdr>
        <w:top w:val="none" w:sz="0" w:space="0" w:color="auto"/>
        <w:left w:val="none" w:sz="0" w:space="0" w:color="auto"/>
        <w:bottom w:val="none" w:sz="0" w:space="0" w:color="auto"/>
        <w:right w:val="none" w:sz="0" w:space="0" w:color="auto"/>
      </w:divBdr>
    </w:div>
    <w:div w:id="558050904">
      <w:bodyDiv w:val="1"/>
      <w:marLeft w:val="0"/>
      <w:marRight w:val="0"/>
      <w:marTop w:val="0"/>
      <w:marBottom w:val="0"/>
      <w:divBdr>
        <w:top w:val="none" w:sz="0" w:space="0" w:color="auto"/>
        <w:left w:val="none" w:sz="0" w:space="0" w:color="auto"/>
        <w:bottom w:val="none" w:sz="0" w:space="0" w:color="auto"/>
        <w:right w:val="none" w:sz="0" w:space="0" w:color="auto"/>
      </w:divBdr>
    </w:div>
    <w:div w:id="593130201">
      <w:bodyDiv w:val="1"/>
      <w:marLeft w:val="0"/>
      <w:marRight w:val="0"/>
      <w:marTop w:val="0"/>
      <w:marBottom w:val="0"/>
      <w:divBdr>
        <w:top w:val="none" w:sz="0" w:space="0" w:color="auto"/>
        <w:left w:val="none" w:sz="0" w:space="0" w:color="auto"/>
        <w:bottom w:val="none" w:sz="0" w:space="0" w:color="auto"/>
        <w:right w:val="none" w:sz="0" w:space="0" w:color="auto"/>
      </w:divBdr>
    </w:div>
    <w:div w:id="608125761">
      <w:bodyDiv w:val="1"/>
      <w:marLeft w:val="0"/>
      <w:marRight w:val="0"/>
      <w:marTop w:val="0"/>
      <w:marBottom w:val="0"/>
      <w:divBdr>
        <w:top w:val="none" w:sz="0" w:space="0" w:color="auto"/>
        <w:left w:val="none" w:sz="0" w:space="0" w:color="auto"/>
        <w:bottom w:val="none" w:sz="0" w:space="0" w:color="auto"/>
        <w:right w:val="none" w:sz="0" w:space="0" w:color="auto"/>
      </w:divBdr>
    </w:div>
    <w:div w:id="612787311">
      <w:bodyDiv w:val="1"/>
      <w:marLeft w:val="0"/>
      <w:marRight w:val="0"/>
      <w:marTop w:val="0"/>
      <w:marBottom w:val="0"/>
      <w:divBdr>
        <w:top w:val="none" w:sz="0" w:space="0" w:color="auto"/>
        <w:left w:val="none" w:sz="0" w:space="0" w:color="auto"/>
        <w:bottom w:val="none" w:sz="0" w:space="0" w:color="auto"/>
        <w:right w:val="none" w:sz="0" w:space="0" w:color="auto"/>
      </w:divBdr>
    </w:div>
    <w:div w:id="616719852">
      <w:bodyDiv w:val="1"/>
      <w:marLeft w:val="0"/>
      <w:marRight w:val="0"/>
      <w:marTop w:val="0"/>
      <w:marBottom w:val="0"/>
      <w:divBdr>
        <w:top w:val="none" w:sz="0" w:space="0" w:color="auto"/>
        <w:left w:val="none" w:sz="0" w:space="0" w:color="auto"/>
        <w:bottom w:val="none" w:sz="0" w:space="0" w:color="auto"/>
        <w:right w:val="none" w:sz="0" w:space="0" w:color="auto"/>
      </w:divBdr>
    </w:div>
    <w:div w:id="628634928">
      <w:bodyDiv w:val="1"/>
      <w:marLeft w:val="0"/>
      <w:marRight w:val="0"/>
      <w:marTop w:val="0"/>
      <w:marBottom w:val="0"/>
      <w:divBdr>
        <w:top w:val="none" w:sz="0" w:space="0" w:color="auto"/>
        <w:left w:val="none" w:sz="0" w:space="0" w:color="auto"/>
        <w:bottom w:val="none" w:sz="0" w:space="0" w:color="auto"/>
        <w:right w:val="none" w:sz="0" w:space="0" w:color="auto"/>
      </w:divBdr>
    </w:div>
    <w:div w:id="649987075">
      <w:bodyDiv w:val="1"/>
      <w:marLeft w:val="0"/>
      <w:marRight w:val="0"/>
      <w:marTop w:val="0"/>
      <w:marBottom w:val="0"/>
      <w:divBdr>
        <w:top w:val="none" w:sz="0" w:space="0" w:color="auto"/>
        <w:left w:val="none" w:sz="0" w:space="0" w:color="auto"/>
        <w:bottom w:val="none" w:sz="0" w:space="0" w:color="auto"/>
        <w:right w:val="none" w:sz="0" w:space="0" w:color="auto"/>
      </w:divBdr>
    </w:div>
    <w:div w:id="743066787">
      <w:bodyDiv w:val="1"/>
      <w:marLeft w:val="0"/>
      <w:marRight w:val="0"/>
      <w:marTop w:val="0"/>
      <w:marBottom w:val="0"/>
      <w:divBdr>
        <w:top w:val="none" w:sz="0" w:space="0" w:color="auto"/>
        <w:left w:val="none" w:sz="0" w:space="0" w:color="auto"/>
        <w:bottom w:val="none" w:sz="0" w:space="0" w:color="auto"/>
        <w:right w:val="none" w:sz="0" w:space="0" w:color="auto"/>
      </w:divBdr>
    </w:div>
    <w:div w:id="753283462">
      <w:bodyDiv w:val="1"/>
      <w:marLeft w:val="0"/>
      <w:marRight w:val="0"/>
      <w:marTop w:val="0"/>
      <w:marBottom w:val="0"/>
      <w:divBdr>
        <w:top w:val="none" w:sz="0" w:space="0" w:color="auto"/>
        <w:left w:val="none" w:sz="0" w:space="0" w:color="auto"/>
        <w:bottom w:val="none" w:sz="0" w:space="0" w:color="auto"/>
        <w:right w:val="none" w:sz="0" w:space="0" w:color="auto"/>
      </w:divBdr>
    </w:div>
    <w:div w:id="764038034">
      <w:bodyDiv w:val="1"/>
      <w:marLeft w:val="0"/>
      <w:marRight w:val="0"/>
      <w:marTop w:val="0"/>
      <w:marBottom w:val="0"/>
      <w:divBdr>
        <w:top w:val="none" w:sz="0" w:space="0" w:color="auto"/>
        <w:left w:val="none" w:sz="0" w:space="0" w:color="auto"/>
        <w:bottom w:val="none" w:sz="0" w:space="0" w:color="auto"/>
        <w:right w:val="none" w:sz="0" w:space="0" w:color="auto"/>
      </w:divBdr>
      <w:divsChild>
        <w:div w:id="375277958">
          <w:marLeft w:val="0"/>
          <w:marRight w:val="0"/>
          <w:marTop w:val="0"/>
          <w:marBottom w:val="525"/>
          <w:divBdr>
            <w:top w:val="none" w:sz="0" w:space="0" w:color="auto"/>
            <w:left w:val="none" w:sz="0" w:space="0" w:color="auto"/>
            <w:bottom w:val="none" w:sz="0" w:space="0" w:color="auto"/>
            <w:right w:val="none" w:sz="0" w:space="0" w:color="auto"/>
          </w:divBdr>
          <w:divsChild>
            <w:div w:id="2132288231">
              <w:marLeft w:val="0"/>
              <w:marRight w:val="0"/>
              <w:marTop w:val="0"/>
              <w:marBottom w:val="0"/>
              <w:divBdr>
                <w:top w:val="single" w:sz="6" w:space="15" w:color="E4E4E5"/>
                <w:left w:val="single" w:sz="6" w:space="15" w:color="E4E4E5"/>
                <w:bottom w:val="single" w:sz="6" w:space="15" w:color="E4E4E5"/>
                <w:right w:val="single" w:sz="6" w:space="15" w:color="E4E4E5"/>
              </w:divBdr>
              <w:divsChild>
                <w:div w:id="1347708521">
                  <w:marLeft w:val="0"/>
                  <w:marRight w:val="0"/>
                  <w:marTop w:val="0"/>
                  <w:marBottom w:val="0"/>
                  <w:divBdr>
                    <w:top w:val="none" w:sz="0" w:space="0" w:color="auto"/>
                    <w:left w:val="none" w:sz="0" w:space="0" w:color="auto"/>
                    <w:bottom w:val="none" w:sz="0" w:space="0" w:color="auto"/>
                    <w:right w:val="none" w:sz="0" w:space="0" w:color="auto"/>
                  </w:divBdr>
                  <w:divsChild>
                    <w:div w:id="461728043">
                      <w:marLeft w:val="0"/>
                      <w:marRight w:val="0"/>
                      <w:marTop w:val="0"/>
                      <w:marBottom w:val="0"/>
                      <w:divBdr>
                        <w:top w:val="none" w:sz="0" w:space="0" w:color="auto"/>
                        <w:left w:val="none" w:sz="0" w:space="0" w:color="auto"/>
                        <w:bottom w:val="none" w:sz="0" w:space="0" w:color="auto"/>
                        <w:right w:val="none" w:sz="0" w:space="0" w:color="auto"/>
                      </w:divBdr>
                    </w:div>
                    <w:div w:id="1171338655">
                      <w:marLeft w:val="0"/>
                      <w:marRight w:val="0"/>
                      <w:marTop w:val="0"/>
                      <w:marBottom w:val="0"/>
                      <w:divBdr>
                        <w:top w:val="none" w:sz="0" w:space="0" w:color="auto"/>
                        <w:left w:val="none" w:sz="0" w:space="0" w:color="auto"/>
                        <w:bottom w:val="none" w:sz="0" w:space="0" w:color="auto"/>
                        <w:right w:val="none" w:sz="0" w:space="0" w:color="auto"/>
                      </w:divBdr>
                    </w:div>
                    <w:div w:id="8192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55804">
      <w:bodyDiv w:val="1"/>
      <w:marLeft w:val="0"/>
      <w:marRight w:val="0"/>
      <w:marTop w:val="0"/>
      <w:marBottom w:val="0"/>
      <w:divBdr>
        <w:top w:val="none" w:sz="0" w:space="0" w:color="auto"/>
        <w:left w:val="none" w:sz="0" w:space="0" w:color="auto"/>
        <w:bottom w:val="none" w:sz="0" w:space="0" w:color="auto"/>
        <w:right w:val="none" w:sz="0" w:space="0" w:color="auto"/>
      </w:divBdr>
    </w:div>
    <w:div w:id="773866834">
      <w:bodyDiv w:val="1"/>
      <w:marLeft w:val="0"/>
      <w:marRight w:val="0"/>
      <w:marTop w:val="0"/>
      <w:marBottom w:val="0"/>
      <w:divBdr>
        <w:top w:val="none" w:sz="0" w:space="0" w:color="auto"/>
        <w:left w:val="none" w:sz="0" w:space="0" w:color="auto"/>
        <w:bottom w:val="none" w:sz="0" w:space="0" w:color="auto"/>
        <w:right w:val="none" w:sz="0" w:space="0" w:color="auto"/>
      </w:divBdr>
    </w:div>
    <w:div w:id="792023649">
      <w:bodyDiv w:val="1"/>
      <w:marLeft w:val="0"/>
      <w:marRight w:val="0"/>
      <w:marTop w:val="0"/>
      <w:marBottom w:val="0"/>
      <w:divBdr>
        <w:top w:val="none" w:sz="0" w:space="0" w:color="auto"/>
        <w:left w:val="none" w:sz="0" w:space="0" w:color="auto"/>
        <w:bottom w:val="none" w:sz="0" w:space="0" w:color="auto"/>
        <w:right w:val="none" w:sz="0" w:space="0" w:color="auto"/>
      </w:divBdr>
    </w:div>
    <w:div w:id="796875771">
      <w:bodyDiv w:val="1"/>
      <w:marLeft w:val="0"/>
      <w:marRight w:val="0"/>
      <w:marTop w:val="0"/>
      <w:marBottom w:val="0"/>
      <w:divBdr>
        <w:top w:val="none" w:sz="0" w:space="0" w:color="auto"/>
        <w:left w:val="none" w:sz="0" w:space="0" w:color="auto"/>
        <w:bottom w:val="none" w:sz="0" w:space="0" w:color="auto"/>
        <w:right w:val="none" w:sz="0" w:space="0" w:color="auto"/>
      </w:divBdr>
    </w:div>
    <w:div w:id="798186168">
      <w:bodyDiv w:val="1"/>
      <w:marLeft w:val="0"/>
      <w:marRight w:val="0"/>
      <w:marTop w:val="0"/>
      <w:marBottom w:val="0"/>
      <w:divBdr>
        <w:top w:val="none" w:sz="0" w:space="0" w:color="auto"/>
        <w:left w:val="none" w:sz="0" w:space="0" w:color="auto"/>
        <w:bottom w:val="none" w:sz="0" w:space="0" w:color="auto"/>
        <w:right w:val="none" w:sz="0" w:space="0" w:color="auto"/>
      </w:divBdr>
    </w:div>
    <w:div w:id="798643293">
      <w:bodyDiv w:val="1"/>
      <w:marLeft w:val="0"/>
      <w:marRight w:val="0"/>
      <w:marTop w:val="0"/>
      <w:marBottom w:val="0"/>
      <w:divBdr>
        <w:top w:val="none" w:sz="0" w:space="0" w:color="auto"/>
        <w:left w:val="none" w:sz="0" w:space="0" w:color="auto"/>
        <w:bottom w:val="none" w:sz="0" w:space="0" w:color="auto"/>
        <w:right w:val="none" w:sz="0" w:space="0" w:color="auto"/>
      </w:divBdr>
    </w:div>
    <w:div w:id="806556836">
      <w:bodyDiv w:val="1"/>
      <w:marLeft w:val="0"/>
      <w:marRight w:val="0"/>
      <w:marTop w:val="0"/>
      <w:marBottom w:val="0"/>
      <w:divBdr>
        <w:top w:val="none" w:sz="0" w:space="0" w:color="auto"/>
        <w:left w:val="none" w:sz="0" w:space="0" w:color="auto"/>
        <w:bottom w:val="none" w:sz="0" w:space="0" w:color="auto"/>
        <w:right w:val="none" w:sz="0" w:space="0" w:color="auto"/>
      </w:divBdr>
    </w:div>
    <w:div w:id="818152823">
      <w:bodyDiv w:val="1"/>
      <w:marLeft w:val="0"/>
      <w:marRight w:val="0"/>
      <w:marTop w:val="0"/>
      <w:marBottom w:val="0"/>
      <w:divBdr>
        <w:top w:val="none" w:sz="0" w:space="0" w:color="auto"/>
        <w:left w:val="none" w:sz="0" w:space="0" w:color="auto"/>
        <w:bottom w:val="none" w:sz="0" w:space="0" w:color="auto"/>
        <w:right w:val="none" w:sz="0" w:space="0" w:color="auto"/>
      </w:divBdr>
    </w:div>
    <w:div w:id="843327996">
      <w:bodyDiv w:val="1"/>
      <w:marLeft w:val="0"/>
      <w:marRight w:val="0"/>
      <w:marTop w:val="0"/>
      <w:marBottom w:val="0"/>
      <w:divBdr>
        <w:top w:val="none" w:sz="0" w:space="0" w:color="auto"/>
        <w:left w:val="none" w:sz="0" w:space="0" w:color="auto"/>
        <w:bottom w:val="none" w:sz="0" w:space="0" w:color="auto"/>
        <w:right w:val="none" w:sz="0" w:space="0" w:color="auto"/>
      </w:divBdr>
    </w:div>
    <w:div w:id="848721041">
      <w:bodyDiv w:val="1"/>
      <w:marLeft w:val="0"/>
      <w:marRight w:val="0"/>
      <w:marTop w:val="0"/>
      <w:marBottom w:val="0"/>
      <w:divBdr>
        <w:top w:val="none" w:sz="0" w:space="0" w:color="auto"/>
        <w:left w:val="none" w:sz="0" w:space="0" w:color="auto"/>
        <w:bottom w:val="none" w:sz="0" w:space="0" w:color="auto"/>
        <w:right w:val="none" w:sz="0" w:space="0" w:color="auto"/>
      </w:divBdr>
    </w:div>
    <w:div w:id="855582796">
      <w:bodyDiv w:val="1"/>
      <w:marLeft w:val="0"/>
      <w:marRight w:val="0"/>
      <w:marTop w:val="0"/>
      <w:marBottom w:val="0"/>
      <w:divBdr>
        <w:top w:val="none" w:sz="0" w:space="0" w:color="auto"/>
        <w:left w:val="none" w:sz="0" w:space="0" w:color="auto"/>
        <w:bottom w:val="none" w:sz="0" w:space="0" w:color="auto"/>
        <w:right w:val="none" w:sz="0" w:space="0" w:color="auto"/>
      </w:divBdr>
    </w:div>
    <w:div w:id="858735308">
      <w:bodyDiv w:val="1"/>
      <w:marLeft w:val="0"/>
      <w:marRight w:val="0"/>
      <w:marTop w:val="0"/>
      <w:marBottom w:val="0"/>
      <w:divBdr>
        <w:top w:val="none" w:sz="0" w:space="0" w:color="auto"/>
        <w:left w:val="none" w:sz="0" w:space="0" w:color="auto"/>
        <w:bottom w:val="none" w:sz="0" w:space="0" w:color="auto"/>
        <w:right w:val="none" w:sz="0" w:space="0" w:color="auto"/>
      </w:divBdr>
      <w:divsChild>
        <w:div w:id="764961710">
          <w:marLeft w:val="0"/>
          <w:marRight w:val="0"/>
          <w:marTop w:val="0"/>
          <w:marBottom w:val="525"/>
          <w:divBdr>
            <w:top w:val="none" w:sz="0" w:space="0" w:color="auto"/>
            <w:left w:val="none" w:sz="0" w:space="0" w:color="auto"/>
            <w:bottom w:val="none" w:sz="0" w:space="0" w:color="auto"/>
            <w:right w:val="none" w:sz="0" w:space="0" w:color="auto"/>
          </w:divBdr>
          <w:divsChild>
            <w:div w:id="574977754">
              <w:marLeft w:val="0"/>
              <w:marRight w:val="0"/>
              <w:marTop w:val="0"/>
              <w:marBottom w:val="0"/>
              <w:divBdr>
                <w:top w:val="single" w:sz="6" w:space="15" w:color="E4E4E5"/>
                <w:left w:val="single" w:sz="6" w:space="15" w:color="E4E4E5"/>
                <w:bottom w:val="single" w:sz="6" w:space="15" w:color="E4E4E5"/>
                <w:right w:val="single" w:sz="6" w:space="15" w:color="E4E4E5"/>
              </w:divBdr>
              <w:divsChild>
                <w:div w:id="34818297">
                  <w:marLeft w:val="0"/>
                  <w:marRight w:val="0"/>
                  <w:marTop w:val="0"/>
                  <w:marBottom w:val="0"/>
                  <w:divBdr>
                    <w:top w:val="none" w:sz="0" w:space="0" w:color="auto"/>
                    <w:left w:val="none" w:sz="0" w:space="0" w:color="auto"/>
                    <w:bottom w:val="none" w:sz="0" w:space="0" w:color="auto"/>
                    <w:right w:val="none" w:sz="0" w:space="0" w:color="auto"/>
                  </w:divBdr>
                  <w:divsChild>
                    <w:div w:id="343096803">
                      <w:marLeft w:val="0"/>
                      <w:marRight w:val="0"/>
                      <w:marTop w:val="0"/>
                      <w:marBottom w:val="0"/>
                      <w:divBdr>
                        <w:top w:val="none" w:sz="0" w:space="0" w:color="auto"/>
                        <w:left w:val="none" w:sz="0" w:space="0" w:color="auto"/>
                        <w:bottom w:val="none" w:sz="0" w:space="0" w:color="auto"/>
                        <w:right w:val="none" w:sz="0" w:space="0" w:color="auto"/>
                      </w:divBdr>
                    </w:div>
                    <w:div w:id="1012805898">
                      <w:marLeft w:val="0"/>
                      <w:marRight w:val="0"/>
                      <w:marTop w:val="0"/>
                      <w:marBottom w:val="0"/>
                      <w:divBdr>
                        <w:top w:val="none" w:sz="0" w:space="0" w:color="auto"/>
                        <w:left w:val="none" w:sz="0" w:space="0" w:color="auto"/>
                        <w:bottom w:val="none" w:sz="0" w:space="0" w:color="auto"/>
                        <w:right w:val="none" w:sz="0" w:space="0" w:color="auto"/>
                      </w:divBdr>
                    </w:div>
                    <w:div w:id="15792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53139">
      <w:bodyDiv w:val="1"/>
      <w:marLeft w:val="0"/>
      <w:marRight w:val="0"/>
      <w:marTop w:val="0"/>
      <w:marBottom w:val="0"/>
      <w:divBdr>
        <w:top w:val="none" w:sz="0" w:space="0" w:color="auto"/>
        <w:left w:val="none" w:sz="0" w:space="0" w:color="auto"/>
        <w:bottom w:val="none" w:sz="0" w:space="0" w:color="auto"/>
        <w:right w:val="none" w:sz="0" w:space="0" w:color="auto"/>
      </w:divBdr>
    </w:div>
    <w:div w:id="879129910">
      <w:bodyDiv w:val="1"/>
      <w:marLeft w:val="0"/>
      <w:marRight w:val="0"/>
      <w:marTop w:val="0"/>
      <w:marBottom w:val="0"/>
      <w:divBdr>
        <w:top w:val="none" w:sz="0" w:space="0" w:color="auto"/>
        <w:left w:val="none" w:sz="0" w:space="0" w:color="auto"/>
        <w:bottom w:val="none" w:sz="0" w:space="0" w:color="auto"/>
        <w:right w:val="none" w:sz="0" w:space="0" w:color="auto"/>
      </w:divBdr>
    </w:div>
    <w:div w:id="893007081">
      <w:bodyDiv w:val="1"/>
      <w:marLeft w:val="0"/>
      <w:marRight w:val="0"/>
      <w:marTop w:val="0"/>
      <w:marBottom w:val="0"/>
      <w:divBdr>
        <w:top w:val="none" w:sz="0" w:space="0" w:color="auto"/>
        <w:left w:val="none" w:sz="0" w:space="0" w:color="auto"/>
        <w:bottom w:val="none" w:sz="0" w:space="0" w:color="auto"/>
        <w:right w:val="none" w:sz="0" w:space="0" w:color="auto"/>
      </w:divBdr>
    </w:div>
    <w:div w:id="896280149">
      <w:bodyDiv w:val="1"/>
      <w:marLeft w:val="0"/>
      <w:marRight w:val="0"/>
      <w:marTop w:val="0"/>
      <w:marBottom w:val="0"/>
      <w:divBdr>
        <w:top w:val="none" w:sz="0" w:space="0" w:color="auto"/>
        <w:left w:val="none" w:sz="0" w:space="0" w:color="auto"/>
        <w:bottom w:val="none" w:sz="0" w:space="0" w:color="auto"/>
        <w:right w:val="none" w:sz="0" w:space="0" w:color="auto"/>
      </w:divBdr>
      <w:divsChild>
        <w:div w:id="768159291">
          <w:marLeft w:val="418"/>
          <w:marRight w:val="0"/>
          <w:marTop w:val="86"/>
          <w:marBottom w:val="0"/>
          <w:divBdr>
            <w:top w:val="none" w:sz="0" w:space="0" w:color="auto"/>
            <w:left w:val="none" w:sz="0" w:space="0" w:color="auto"/>
            <w:bottom w:val="none" w:sz="0" w:space="0" w:color="auto"/>
            <w:right w:val="none" w:sz="0" w:space="0" w:color="auto"/>
          </w:divBdr>
        </w:div>
        <w:div w:id="591859859">
          <w:marLeft w:val="850"/>
          <w:marRight w:val="0"/>
          <w:marTop w:val="86"/>
          <w:marBottom w:val="0"/>
          <w:divBdr>
            <w:top w:val="none" w:sz="0" w:space="0" w:color="auto"/>
            <w:left w:val="none" w:sz="0" w:space="0" w:color="auto"/>
            <w:bottom w:val="none" w:sz="0" w:space="0" w:color="auto"/>
            <w:right w:val="none" w:sz="0" w:space="0" w:color="auto"/>
          </w:divBdr>
        </w:div>
        <w:div w:id="897398032">
          <w:marLeft w:val="418"/>
          <w:marRight w:val="0"/>
          <w:marTop w:val="86"/>
          <w:marBottom w:val="0"/>
          <w:divBdr>
            <w:top w:val="none" w:sz="0" w:space="0" w:color="auto"/>
            <w:left w:val="none" w:sz="0" w:space="0" w:color="auto"/>
            <w:bottom w:val="none" w:sz="0" w:space="0" w:color="auto"/>
            <w:right w:val="none" w:sz="0" w:space="0" w:color="auto"/>
          </w:divBdr>
        </w:div>
      </w:divsChild>
    </w:div>
    <w:div w:id="896822040">
      <w:bodyDiv w:val="1"/>
      <w:marLeft w:val="0"/>
      <w:marRight w:val="0"/>
      <w:marTop w:val="0"/>
      <w:marBottom w:val="0"/>
      <w:divBdr>
        <w:top w:val="none" w:sz="0" w:space="0" w:color="auto"/>
        <w:left w:val="none" w:sz="0" w:space="0" w:color="auto"/>
        <w:bottom w:val="none" w:sz="0" w:space="0" w:color="auto"/>
        <w:right w:val="none" w:sz="0" w:space="0" w:color="auto"/>
      </w:divBdr>
    </w:div>
    <w:div w:id="916129482">
      <w:bodyDiv w:val="1"/>
      <w:marLeft w:val="0"/>
      <w:marRight w:val="0"/>
      <w:marTop w:val="0"/>
      <w:marBottom w:val="0"/>
      <w:divBdr>
        <w:top w:val="none" w:sz="0" w:space="0" w:color="auto"/>
        <w:left w:val="none" w:sz="0" w:space="0" w:color="auto"/>
        <w:bottom w:val="none" w:sz="0" w:space="0" w:color="auto"/>
        <w:right w:val="none" w:sz="0" w:space="0" w:color="auto"/>
      </w:divBdr>
    </w:div>
    <w:div w:id="938370134">
      <w:bodyDiv w:val="1"/>
      <w:marLeft w:val="0"/>
      <w:marRight w:val="0"/>
      <w:marTop w:val="0"/>
      <w:marBottom w:val="0"/>
      <w:divBdr>
        <w:top w:val="none" w:sz="0" w:space="0" w:color="auto"/>
        <w:left w:val="none" w:sz="0" w:space="0" w:color="auto"/>
        <w:bottom w:val="none" w:sz="0" w:space="0" w:color="auto"/>
        <w:right w:val="none" w:sz="0" w:space="0" w:color="auto"/>
      </w:divBdr>
    </w:div>
    <w:div w:id="940181685">
      <w:bodyDiv w:val="1"/>
      <w:marLeft w:val="0"/>
      <w:marRight w:val="0"/>
      <w:marTop w:val="0"/>
      <w:marBottom w:val="0"/>
      <w:divBdr>
        <w:top w:val="none" w:sz="0" w:space="0" w:color="auto"/>
        <w:left w:val="none" w:sz="0" w:space="0" w:color="auto"/>
        <w:bottom w:val="none" w:sz="0" w:space="0" w:color="auto"/>
        <w:right w:val="none" w:sz="0" w:space="0" w:color="auto"/>
      </w:divBdr>
    </w:div>
    <w:div w:id="963660638">
      <w:bodyDiv w:val="1"/>
      <w:marLeft w:val="0"/>
      <w:marRight w:val="0"/>
      <w:marTop w:val="0"/>
      <w:marBottom w:val="0"/>
      <w:divBdr>
        <w:top w:val="none" w:sz="0" w:space="0" w:color="auto"/>
        <w:left w:val="none" w:sz="0" w:space="0" w:color="auto"/>
        <w:bottom w:val="none" w:sz="0" w:space="0" w:color="auto"/>
        <w:right w:val="none" w:sz="0" w:space="0" w:color="auto"/>
      </w:divBdr>
    </w:div>
    <w:div w:id="986132578">
      <w:bodyDiv w:val="1"/>
      <w:marLeft w:val="0"/>
      <w:marRight w:val="0"/>
      <w:marTop w:val="0"/>
      <w:marBottom w:val="0"/>
      <w:divBdr>
        <w:top w:val="none" w:sz="0" w:space="0" w:color="auto"/>
        <w:left w:val="none" w:sz="0" w:space="0" w:color="auto"/>
        <w:bottom w:val="none" w:sz="0" w:space="0" w:color="auto"/>
        <w:right w:val="none" w:sz="0" w:space="0" w:color="auto"/>
      </w:divBdr>
    </w:div>
    <w:div w:id="986590334">
      <w:bodyDiv w:val="1"/>
      <w:marLeft w:val="0"/>
      <w:marRight w:val="0"/>
      <w:marTop w:val="0"/>
      <w:marBottom w:val="0"/>
      <w:divBdr>
        <w:top w:val="none" w:sz="0" w:space="0" w:color="auto"/>
        <w:left w:val="none" w:sz="0" w:space="0" w:color="auto"/>
        <w:bottom w:val="none" w:sz="0" w:space="0" w:color="auto"/>
        <w:right w:val="none" w:sz="0" w:space="0" w:color="auto"/>
      </w:divBdr>
    </w:div>
    <w:div w:id="987977429">
      <w:bodyDiv w:val="1"/>
      <w:marLeft w:val="0"/>
      <w:marRight w:val="0"/>
      <w:marTop w:val="0"/>
      <w:marBottom w:val="0"/>
      <w:divBdr>
        <w:top w:val="none" w:sz="0" w:space="0" w:color="auto"/>
        <w:left w:val="none" w:sz="0" w:space="0" w:color="auto"/>
        <w:bottom w:val="none" w:sz="0" w:space="0" w:color="auto"/>
        <w:right w:val="none" w:sz="0" w:space="0" w:color="auto"/>
      </w:divBdr>
    </w:div>
    <w:div w:id="993219576">
      <w:bodyDiv w:val="1"/>
      <w:marLeft w:val="0"/>
      <w:marRight w:val="0"/>
      <w:marTop w:val="0"/>
      <w:marBottom w:val="0"/>
      <w:divBdr>
        <w:top w:val="none" w:sz="0" w:space="0" w:color="auto"/>
        <w:left w:val="none" w:sz="0" w:space="0" w:color="auto"/>
        <w:bottom w:val="none" w:sz="0" w:space="0" w:color="auto"/>
        <w:right w:val="none" w:sz="0" w:space="0" w:color="auto"/>
      </w:divBdr>
    </w:div>
    <w:div w:id="997341894">
      <w:bodyDiv w:val="1"/>
      <w:marLeft w:val="0"/>
      <w:marRight w:val="0"/>
      <w:marTop w:val="0"/>
      <w:marBottom w:val="0"/>
      <w:divBdr>
        <w:top w:val="none" w:sz="0" w:space="0" w:color="auto"/>
        <w:left w:val="none" w:sz="0" w:space="0" w:color="auto"/>
        <w:bottom w:val="none" w:sz="0" w:space="0" w:color="auto"/>
        <w:right w:val="none" w:sz="0" w:space="0" w:color="auto"/>
      </w:divBdr>
    </w:div>
    <w:div w:id="1000893948">
      <w:bodyDiv w:val="1"/>
      <w:marLeft w:val="0"/>
      <w:marRight w:val="0"/>
      <w:marTop w:val="0"/>
      <w:marBottom w:val="0"/>
      <w:divBdr>
        <w:top w:val="none" w:sz="0" w:space="0" w:color="auto"/>
        <w:left w:val="none" w:sz="0" w:space="0" w:color="auto"/>
        <w:bottom w:val="none" w:sz="0" w:space="0" w:color="auto"/>
        <w:right w:val="none" w:sz="0" w:space="0" w:color="auto"/>
      </w:divBdr>
    </w:div>
    <w:div w:id="1001617450">
      <w:bodyDiv w:val="1"/>
      <w:marLeft w:val="0"/>
      <w:marRight w:val="0"/>
      <w:marTop w:val="0"/>
      <w:marBottom w:val="0"/>
      <w:divBdr>
        <w:top w:val="none" w:sz="0" w:space="0" w:color="auto"/>
        <w:left w:val="none" w:sz="0" w:space="0" w:color="auto"/>
        <w:bottom w:val="none" w:sz="0" w:space="0" w:color="auto"/>
        <w:right w:val="none" w:sz="0" w:space="0" w:color="auto"/>
      </w:divBdr>
    </w:div>
    <w:div w:id="1030255029">
      <w:bodyDiv w:val="1"/>
      <w:marLeft w:val="0"/>
      <w:marRight w:val="0"/>
      <w:marTop w:val="0"/>
      <w:marBottom w:val="0"/>
      <w:divBdr>
        <w:top w:val="none" w:sz="0" w:space="0" w:color="auto"/>
        <w:left w:val="none" w:sz="0" w:space="0" w:color="auto"/>
        <w:bottom w:val="none" w:sz="0" w:space="0" w:color="auto"/>
        <w:right w:val="none" w:sz="0" w:space="0" w:color="auto"/>
      </w:divBdr>
    </w:div>
    <w:div w:id="1031762028">
      <w:bodyDiv w:val="1"/>
      <w:marLeft w:val="0"/>
      <w:marRight w:val="0"/>
      <w:marTop w:val="0"/>
      <w:marBottom w:val="0"/>
      <w:divBdr>
        <w:top w:val="none" w:sz="0" w:space="0" w:color="auto"/>
        <w:left w:val="none" w:sz="0" w:space="0" w:color="auto"/>
        <w:bottom w:val="none" w:sz="0" w:space="0" w:color="auto"/>
        <w:right w:val="none" w:sz="0" w:space="0" w:color="auto"/>
      </w:divBdr>
    </w:div>
    <w:div w:id="1032346046">
      <w:bodyDiv w:val="1"/>
      <w:marLeft w:val="0"/>
      <w:marRight w:val="0"/>
      <w:marTop w:val="0"/>
      <w:marBottom w:val="0"/>
      <w:divBdr>
        <w:top w:val="none" w:sz="0" w:space="0" w:color="auto"/>
        <w:left w:val="none" w:sz="0" w:space="0" w:color="auto"/>
        <w:bottom w:val="none" w:sz="0" w:space="0" w:color="auto"/>
        <w:right w:val="none" w:sz="0" w:space="0" w:color="auto"/>
      </w:divBdr>
    </w:div>
    <w:div w:id="1042828254">
      <w:bodyDiv w:val="1"/>
      <w:marLeft w:val="0"/>
      <w:marRight w:val="0"/>
      <w:marTop w:val="0"/>
      <w:marBottom w:val="0"/>
      <w:divBdr>
        <w:top w:val="none" w:sz="0" w:space="0" w:color="auto"/>
        <w:left w:val="none" w:sz="0" w:space="0" w:color="auto"/>
        <w:bottom w:val="none" w:sz="0" w:space="0" w:color="auto"/>
        <w:right w:val="none" w:sz="0" w:space="0" w:color="auto"/>
      </w:divBdr>
    </w:div>
    <w:div w:id="1049960130">
      <w:bodyDiv w:val="1"/>
      <w:marLeft w:val="0"/>
      <w:marRight w:val="0"/>
      <w:marTop w:val="0"/>
      <w:marBottom w:val="0"/>
      <w:divBdr>
        <w:top w:val="none" w:sz="0" w:space="0" w:color="auto"/>
        <w:left w:val="none" w:sz="0" w:space="0" w:color="auto"/>
        <w:bottom w:val="none" w:sz="0" w:space="0" w:color="auto"/>
        <w:right w:val="none" w:sz="0" w:space="0" w:color="auto"/>
      </w:divBdr>
    </w:div>
    <w:div w:id="1063793207">
      <w:bodyDiv w:val="1"/>
      <w:marLeft w:val="0"/>
      <w:marRight w:val="0"/>
      <w:marTop w:val="0"/>
      <w:marBottom w:val="0"/>
      <w:divBdr>
        <w:top w:val="none" w:sz="0" w:space="0" w:color="auto"/>
        <w:left w:val="none" w:sz="0" w:space="0" w:color="auto"/>
        <w:bottom w:val="none" w:sz="0" w:space="0" w:color="auto"/>
        <w:right w:val="none" w:sz="0" w:space="0" w:color="auto"/>
      </w:divBdr>
    </w:div>
    <w:div w:id="1092051234">
      <w:bodyDiv w:val="1"/>
      <w:marLeft w:val="0"/>
      <w:marRight w:val="0"/>
      <w:marTop w:val="0"/>
      <w:marBottom w:val="0"/>
      <w:divBdr>
        <w:top w:val="none" w:sz="0" w:space="0" w:color="auto"/>
        <w:left w:val="none" w:sz="0" w:space="0" w:color="auto"/>
        <w:bottom w:val="none" w:sz="0" w:space="0" w:color="auto"/>
        <w:right w:val="none" w:sz="0" w:space="0" w:color="auto"/>
      </w:divBdr>
    </w:div>
    <w:div w:id="1094132566">
      <w:bodyDiv w:val="1"/>
      <w:marLeft w:val="0"/>
      <w:marRight w:val="0"/>
      <w:marTop w:val="0"/>
      <w:marBottom w:val="0"/>
      <w:divBdr>
        <w:top w:val="none" w:sz="0" w:space="0" w:color="auto"/>
        <w:left w:val="none" w:sz="0" w:space="0" w:color="auto"/>
        <w:bottom w:val="none" w:sz="0" w:space="0" w:color="auto"/>
        <w:right w:val="none" w:sz="0" w:space="0" w:color="auto"/>
      </w:divBdr>
    </w:div>
    <w:div w:id="1096907060">
      <w:bodyDiv w:val="1"/>
      <w:marLeft w:val="0"/>
      <w:marRight w:val="0"/>
      <w:marTop w:val="0"/>
      <w:marBottom w:val="0"/>
      <w:divBdr>
        <w:top w:val="none" w:sz="0" w:space="0" w:color="auto"/>
        <w:left w:val="none" w:sz="0" w:space="0" w:color="auto"/>
        <w:bottom w:val="none" w:sz="0" w:space="0" w:color="auto"/>
        <w:right w:val="none" w:sz="0" w:space="0" w:color="auto"/>
      </w:divBdr>
    </w:div>
    <w:div w:id="1133865268">
      <w:bodyDiv w:val="1"/>
      <w:marLeft w:val="0"/>
      <w:marRight w:val="0"/>
      <w:marTop w:val="0"/>
      <w:marBottom w:val="0"/>
      <w:divBdr>
        <w:top w:val="none" w:sz="0" w:space="0" w:color="auto"/>
        <w:left w:val="none" w:sz="0" w:space="0" w:color="auto"/>
        <w:bottom w:val="none" w:sz="0" w:space="0" w:color="auto"/>
        <w:right w:val="none" w:sz="0" w:space="0" w:color="auto"/>
      </w:divBdr>
    </w:div>
    <w:div w:id="1140154768">
      <w:bodyDiv w:val="1"/>
      <w:marLeft w:val="0"/>
      <w:marRight w:val="0"/>
      <w:marTop w:val="0"/>
      <w:marBottom w:val="0"/>
      <w:divBdr>
        <w:top w:val="none" w:sz="0" w:space="0" w:color="auto"/>
        <w:left w:val="none" w:sz="0" w:space="0" w:color="auto"/>
        <w:bottom w:val="none" w:sz="0" w:space="0" w:color="auto"/>
        <w:right w:val="none" w:sz="0" w:space="0" w:color="auto"/>
      </w:divBdr>
      <w:divsChild>
        <w:div w:id="907807596">
          <w:marLeft w:val="0"/>
          <w:marRight w:val="0"/>
          <w:marTop w:val="0"/>
          <w:marBottom w:val="0"/>
          <w:divBdr>
            <w:top w:val="none" w:sz="0" w:space="0" w:color="auto"/>
            <w:left w:val="none" w:sz="0" w:space="0" w:color="auto"/>
            <w:bottom w:val="none" w:sz="0" w:space="0" w:color="auto"/>
            <w:right w:val="none" w:sz="0" w:space="0" w:color="auto"/>
          </w:divBdr>
        </w:div>
      </w:divsChild>
    </w:div>
    <w:div w:id="1149401472">
      <w:bodyDiv w:val="1"/>
      <w:marLeft w:val="0"/>
      <w:marRight w:val="0"/>
      <w:marTop w:val="0"/>
      <w:marBottom w:val="0"/>
      <w:divBdr>
        <w:top w:val="none" w:sz="0" w:space="0" w:color="auto"/>
        <w:left w:val="none" w:sz="0" w:space="0" w:color="auto"/>
        <w:bottom w:val="none" w:sz="0" w:space="0" w:color="auto"/>
        <w:right w:val="none" w:sz="0" w:space="0" w:color="auto"/>
      </w:divBdr>
    </w:div>
    <w:div w:id="1181967269">
      <w:bodyDiv w:val="1"/>
      <w:marLeft w:val="0"/>
      <w:marRight w:val="0"/>
      <w:marTop w:val="0"/>
      <w:marBottom w:val="0"/>
      <w:divBdr>
        <w:top w:val="none" w:sz="0" w:space="0" w:color="auto"/>
        <w:left w:val="none" w:sz="0" w:space="0" w:color="auto"/>
        <w:bottom w:val="none" w:sz="0" w:space="0" w:color="auto"/>
        <w:right w:val="none" w:sz="0" w:space="0" w:color="auto"/>
      </w:divBdr>
      <w:divsChild>
        <w:div w:id="651570131">
          <w:marLeft w:val="0"/>
          <w:marRight w:val="0"/>
          <w:marTop w:val="0"/>
          <w:marBottom w:val="525"/>
          <w:divBdr>
            <w:top w:val="none" w:sz="0" w:space="0" w:color="auto"/>
            <w:left w:val="none" w:sz="0" w:space="0" w:color="auto"/>
            <w:bottom w:val="none" w:sz="0" w:space="0" w:color="auto"/>
            <w:right w:val="none" w:sz="0" w:space="0" w:color="auto"/>
          </w:divBdr>
          <w:divsChild>
            <w:div w:id="586036135">
              <w:marLeft w:val="0"/>
              <w:marRight w:val="0"/>
              <w:marTop w:val="0"/>
              <w:marBottom w:val="0"/>
              <w:divBdr>
                <w:top w:val="single" w:sz="6" w:space="15" w:color="E4E4E5"/>
                <w:left w:val="single" w:sz="6" w:space="15" w:color="E4E4E5"/>
                <w:bottom w:val="single" w:sz="6" w:space="15" w:color="E4E4E5"/>
                <w:right w:val="single" w:sz="6" w:space="15" w:color="E4E4E5"/>
              </w:divBdr>
              <w:divsChild>
                <w:div w:id="161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0649">
      <w:bodyDiv w:val="1"/>
      <w:marLeft w:val="0"/>
      <w:marRight w:val="0"/>
      <w:marTop w:val="0"/>
      <w:marBottom w:val="0"/>
      <w:divBdr>
        <w:top w:val="none" w:sz="0" w:space="0" w:color="auto"/>
        <w:left w:val="none" w:sz="0" w:space="0" w:color="auto"/>
        <w:bottom w:val="none" w:sz="0" w:space="0" w:color="auto"/>
        <w:right w:val="none" w:sz="0" w:space="0" w:color="auto"/>
      </w:divBdr>
    </w:div>
    <w:div w:id="1225683572">
      <w:bodyDiv w:val="1"/>
      <w:marLeft w:val="0"/>
      <w:marRight w:val="0"/>
      <w:marTop w:val="0"/>
      <w:marBottom w:val="0"/>
      <w:divBdr>
        <w:top w:val="none" w:sz="0" w:space="0" w:color="auto"/>
        <w:left w:val="none" w:sz="0" w:space="0" w:color="auto"/>
        <w:bottom w:val="none" w:sz="0" w:space="0" w:color="auto"/>
        <w:right w:val="none" w:sz="0" w:space="0" w:color="auto"/>
      </w:divBdr>
    </w:div>
    <w:div w:id="1244410529">
      <w:bodyDiv w:val="1"/>
      <w:marLeft w:val="0"/>
      <w:marRight w:val="0"/>
      <w:marTop w:val="0"/>
      <w:marBottom w:val="0"/>
      <w:divBdr>
        <w:top w:val="none" w:sz="0" w:space="0" w:color="auto"/>
        <w:left w:val="none" w:sz="0" w:space="0" w:color="auto"/>
        <w:bottom w:val="none" w:sz="0" w:space="0" w:color="auto"/>
        <w:right w:val="none" w:sz="0" w:space="0" w:color="auto"/>
      </w:divBdr>
    </w:div>
    <w:div w:id="1288707155">
      <w:bodyDiv w:val="1"/>
      <w:marLeft w:val="0"/>
      <w:marRight w:val="0"/>
      <w:marTop w:val="0"/>
      <w:marBottom w:val="0"/>
      <w:divBdr>
        <w:top w:val="none" w:sz="0" w:space="0" w:color="auto"/>
        <w:left w:val="none" w:sz="0" w:space="0" w:color="auto"/>
        <w:bottom w:val="none" w:sz="0" w:space="0" w:color="auto"/>
        <w:right w:val="none" w:sz="0" w:space="0" w:color="auto"/>
      </w:divBdr>
    </w:div>
    <w:div w:id="1299922806">
      <w:bodyDiv w:val="1"/>
      <w:marLeft w:val="0"/>
      <w:marRight w:val="0"/>
      <w:marTop w:val="0"/>
      <w:marBottom w:val="0"/>
      <w:divBdr>
        <w:top w:val="none" w:sz="0" w:space="0" w:color="auto"/>
        <w:left w:val="none" w:sz="0" w:space="0" w:color="auto"/>
        <w:bottom w:val="none" w:sz="0" w:space="0" w:color="auto"/>
        <w:right w:val="none" w:sz="0" w:space="0" w:color="auto"/>
      </w:divBdr>
    </w:div>
    <w:div w:id="1306931079">
      <w:bodyDiv w:val="1"/>
      <w:marLeft w:val="0"/>
      <w:marRight w:val="0"/>
      <w:marTop w:val="0"/>
      <w:marBottom w:val="0"/>
      <w:divBdr>
        <w:top w:val="none" w:sz="0" w:space="0" w:color="auto"/>
        <w:left w:val="none" w:sz="0" w:space="0" w:color="auto"/>
        <w:bottom w:val="none" w:sz="0" w:space="0" w:color="auto"/>
        <w:right w:val="none" w:sz="0" w:space="0" w:color="auto"/>
      </w:divBdr>
    </w:div>
    <w:div w:id="1322929533">
      <w:bodyDiv w:val="1"/>
      <w:marLeft w:val="0"/>
      <w:marRight w:val="0"/>
      <w:marTop w:val="0"/>
      <w:marBottom w:val="0"/>
      <w:divBdr>
        <w:top w:val="none" w:sz="0" w:space="0" w:color="auto"/>
        <w:left w:val="none" w:sz="0" w:space="0" w:color="auto"/>
        <w:bottom w:val="none" w:sz="0" w:space="0" w:color="auto"/>
        <w:right w:val="none" w:sz="0" w:space="0" w:color="auto"/>
      </w:divBdr>
    </w:div>
    <w:div w:id="1343361828">
      <w:bodyDiv w:val="1"/>
      <w:marLeft w:val="0"/>
      <w:marRight w:val="0"/>
      <w:marTop w:val="0"/>
      <w:marBottom w:val="0"/>
      <w:divBdr>
        <w:top w:val="none" w:sz="0" w:space="0" w:color="auto"/>
        <w:left w:val="none" w:sz="0" w:space="0" w:color="auto"/>
        <w:bottom w:val="none" w:sz="0" w:space="0" w:color="auto"/>
        <w:right w:val="none" w:sz="0" w:space="0" w:color="auto"/>
      </w:divBdr>
    </w:div>
    <w:div w:id="1359698420">
      <w:bodyDiv w:val="1"/>
      <w:marLeft w:val="0"/>
      <w:marRight w:val="0"/>
      <w:marTop w:val="0"/>
      <w:marBottom w:val="0"/>
      <w:divBdr>
        <w:top w:val="none" w:sz="0" w:space="0" w:color="auto"/>
        <w:left w:val="none" w:sz="0" w:space="0" w:color="auto"/>
        <w:bottom w:val="none" w:sz="0" w:space="0" w:color="auto"/>
        <w:right w:val="none" w:sz="0" w:space="0" w:color="auto"/>
      </w:divBdr>
    </w:div>
    <w:div w:id="1370688206">
      <w:bodyDiv w:val="1"/>
      <w:marLeft w:val="0"/>
      <w:marRight w:val="0"/>
      <w:marTop w:val="0"/>
      <w:marBottom w:val="0"/>
      <w:divBdr>
        <w:top w:val="none" w:sz="0" w:space="0" w:color="auto"/>
        <w:left w:val="none" w:sz="0" w:space="0" w:color="auto"/>
        <w:bottom w:val="none" w:sz="0" w:space="0" w:color="auto"/>
        <w:right w:val="none" w:sz="0" w:space="0" w:color="auto"/>
      </w:divBdr>
    </w:div>
    <w:div w:id="1386683877">
      <w:bodyDiv w:val="1"/>
      <w:marLeft w:val="0"/>
      <w:marRight w:val="0"/>
      <w:marTop w:val="0"/>
      <w:marBottom w:val="0"/>
      <w:divBdr>
        <w:top w:val="none" w:sz="0" w:space="0" w:color="auto"/>
        <w:left w:val="none" w:sz="0" w:space="0" w:color="auto"/>
        <w:bottom w:val="none" w:sz="0" w:space="0" w:color="auto"/>
        <w:right w:val="none" w:sz="0" w:space="0" w:color="auto"/>
      </w:divBdr>
    </w:div>
    <w:div w:id="1387218631">
      <w:bodyDiv w:val="1"/>
      <w:marLeft w:val="0"/>
      <w:marRight w:val="0"/>
      <w:marTop w:val="0"/>
      <w:marBottom w:val="0"/>
      <w:divBdr>
        <w:top w:val="none" w:sz="0" w:space="0" w:color="auto"/>
        <w:left w:val="none" w:sz="0" w:space="0" w:color="auto"/>
        <w:bottom w:val="none" w:sz="0" w:space="0" w:color="auto"/>
        <w:right w:val="none" w:sz="0" w:space="0" w:color="auto"/>
      </w:divBdr>
    </w:div>
    <w:div w:id="1394742710">
      <w:bodyDiv w:val="1"/>
      <w:marLeft w:val="0"/>
      <w:marRight w:val="0"/>
      <w:marTop w:val="0"/>
      <w:marBottom w:val="0"/>
      <w:divBdr>
        <w:top w:val="none" w:sz="0" w:space="0" w:color="auto"/>
        <w:left w:val="none" w:sz="0" w:space="0" w:color="auto"/>
        <w:bottom w:val="none" w:sz="0" w:space="0" w:color="auto"/>
        <w:right w:val="none" w:sz="0" w:space="0" w:color="auto"/>
      </w:divBdr>
    </w:div>
    <w:div w:id="1417508277">
      <w:bodyDiv w:val="1"/>
      <w:marLeft w:val="0"/>
      <w:marRight w:val="0"/>
      <w:marTop w:val="0"/>
      <w:marBottom w:val="0"/>
      <w:divBdr>
        <w:top w:val="none" w:sz="0" w:space="0" w:color="auto"/>
        <w:left w:val="none" w:sz="0" w:space="0" w:color="auto"/>
        <w:bottom w:val="none" w:sz="0" w:space="0" w:color="auto"/>
        <w:right w:val="none" w:sz="0" w:space="0" w:color="auto"/>
      </w:divBdr>
    </w:div>
    <w:div w:id="1426807853">
      <w:bodyDiv w:val="1"/>
      <w:marLeft w:val="0"/>
      <w:marRight w:val="0"/>
      <w:marTop w:val="0"/>
      <w:marBottom w:val="0"/>
      <w:divBdr>
        <w:top w:val="none" w:sz="0" w:space="0" w:color="auto"/>
        <w:left w:val="none" w:sz="0" w:space="0" w:color="auto"/>
        <w:bottom w:val="none" w:sz="0" w:space="0" w:color="auto"/>
        <w:right w:val="none" w:sz="0" w:space="0" w:color="auto"/>
      </w:divBdr>
    </w:div>
    <w:div w:id="1476143873">
      <w:bodyDiv w:val="1"/>
      <w:marLeft w:val="0"/>
      <w:marRight w:val="0"/>
      <w:marTop w:val="0"/>
      <w:marBottom w:val="0"/>
      <w:divBdr>
        <w:top w:val="none" w:sz="0" w:space="0" w:color="auto"/>
        <w:left w:val="none" w:sz="0" w:space="0" w:color="auto"/>
        <w:bottom w:val="none" w:sz="0" w:space="0" w:color="auto"/>
        <w:right w:val="none" w:sz="0" w:space="0" w:color="auto"/>
      </w:divBdr>
    </w:div>
    <w:div w:id="1545212323">
      <w:bodyDiv w:val="1"/>
      <w:marLeft w:val="0"/>
      <w:marRight w:val="0"/>
      <w:marTop w:val="0"/>
      <w:marBottom w:val="0"/>
      <w:divBdr>
        <w:top w:val="none" w:sz="0" w:space="0" w:color="auto"/>
        <w:left w:val="none" w:sz="0" w:space="0" w:color="auto"/>
        <w:bottom w:val="none" w:sz="0" w:space="0" w:color="auto"/>
        <w:right w:val="none" w:sz="0" w:space="0" w:color="auto"/>
      </w:divBdr>
    </w:div>
    <w:div w:id="1581138298">
      <w:bodyDiv w:val="1"/>
      <w:marLeft w:val="0"/>
      <w:marRight w:val="0"/>
      <w:marTop w:val="0"/>
      <w:marBottom w:val="0"/>
      <w:divBdr>
        <w:top w:val="none" w:sz="0" w:space="0" w:color="auto"/>
        <w:left w:val="none" w:sz="0" w:space="0" w:color="auto"/>
        <w:bottom w:val="none" w:sz="0" w:space="0" w:color="auto"/>
        <w:right w:val="none" w:sz="0" w:space="0" w:color="auto"/>
      </w:divBdr>
    </w:div>
    <w:div w:id="1677688031">
      <w:bodyDiv w:val="1"/>
      <w:marLeft w:val="0"/>
      <w:marRight w:val="0"/>
      <w:marTop w:val="0"/>
      <w:marBottom w:val="0"/>
      <w:divBdr>
        <w:top w:val="none" w:sz="0" w:space="0" w:color="auto"/>
        <w:left w:val="none" w:sz="0" w:space="0" w:color="auto"/>
        <w:bottom w:val="none" w:sz="0" w:space="0" w:color="auto"/>
        <w:right w:val="none" w:sz="0" w:space="0" w:color="auto"/>
      </w:divBdr>
    </w:div>
    <w:div w:id="1737632098">
      <w:bodyDiv w:val="1"/>
      <w:marLeft w:val="0"/>
      <w:marRight w:val="0"/>
      <w:marTop w:val="0"/>
      <w:marBottom w:val="0"/>
      <w:divBdr>
        <w:top w:val="none" w:sz="0" w:space="0" w:color="auto"/>
        <w:left w:val="none" w:sz="0" w:space="0" w:color="auto"/>
        <w:bottom w:val="none" w:sz="0" w:space="0" w:color="auto"/>
        <w:right w:val="none" w:sz="0" w:space="0" w:color="auto"/>
      </w:divBdr>
    </w:div>
    <w:div w:id="1751346986">
      <w:bodyDiv w:val="1"/>
      <w:marLeft w:val="0"/>
      <w:marRight w:val="0"/>
      <w:marTop w:val="0"/>
      <w:marBottom w:val="0"/>
      <w:divBdr>
        <w:top w:val="none" w:sz="0" w:space="0" w:color="auto"/>
        <w:left w:val="none" w:sz="0" w:space="0" w:color="auto"/>
        <w:bottom w:val="none" w:sz="0" w:space="0" w:color="auto"/>
        <w:right w:val="none" w:sz="0" w:space="0" w:color="auto"/>
      </w:divBdr>
      <w:divsChild>
        <w:div w:id="824396818">
          <w:marLeft w:val="0"/>
          <w:marRight w:val="0"/>
          <w:marTop w:val="0"/>
          <w:marBottom w:val="525"/>
          <w:divBdr>
            <w:top w:val="none" w:sz="0" w:space="0" w:color="auto"/>
            <w:left w:val="none" w:sz="0" w:space="0" w:color="auto"/>
            <w:bottom w:val="none" w:sz="0" w:space="0" w:color="auto"/>
            <w:right w:val="none" w:sz="0" w:space="0" w:color="auto"/>
          </w:divBdr>
          <w:divsChild>
            <w:div w:id="466975634">
              <w:marLeft w:val="0"/>
              <w:marRight w:val="0"/>
              <w:marTop w:val="0"/>
              <w:marBottom w:val="0"/>
              <w:divBdr>
                <w:top w:val="none" w:sz="0" w:space="0" w:color="auto"/>
                <w:left w:val="none" w:sz="0" w:space="0" w:color="auto"/>
                <w:bottom w:val="none" w:sz="0" w:space="0" w:color="auto"/>
                <w:right w:val="none" w:sz="0" w:space="0" w:color="auto"/>
              </w:divBdr>
              <w:divsChild>
                <w:div w:id="301229696">
                  <w:marLeft w:val="0"/>
                  <w:marRight w:val="0"/>
                  <w:marTop w:val="0"/>
                  <w:marBottom w:val="0"/>
                  <w:divBdr>
                    <w:top w:val="none" w:sz="0" w:space="0" w:color="auto"/>
                    <w:left w:val="none" w:sz="0" w:space="0" w:color="auto"/>
                    <w:bottom w:val="none" w:sz="0" w:space="0" w:color="auto"/>
                    <w:right w:val="none" w:sz="0" w:space="0" w:color="auto"/>
                  </w:divBdr>
                </w:div>
                <w:div w:id="1026716961">
                  <w:marLeft w:val="0"/>
                  <w:marRight w:val="0"/>
                  <w:marTop w:val="0"/>
                  <w:marBottom w:val="0"/>
                  <w:divBdr>
                    <w:top w:val="none" w:sz="0" w:space="0" w:color="auto"/>
                    <w:left w:val="none" w:sz="0" w:space="0" w:color="auto"/>
                    <w:bottom w:val="none" w:sz="0" w:space="0" w:color="auto"/>
                    <w:right w:val="none" w:sz="0" w:space="0" w:color="auto"/>
                  </w:divBdr>
                  <w:divsChild>
                    <w:div w:id="16435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2595">
      <w:bodyDiv w:val="1"/>
      <w:marLeft w:val="0"/>
      <w:marRight w:val="0"/>
      <w:marTop w:val="0"/>
      <w:marBottom w:val="0"/>
      <w:divBdr>
        <w:top w:val="none" w:sz="0" w:space="0" w:color="auto"/>
        <w:left w:val="none" w:sz="0" w:space="0" w:color="auto"/>
        <w:bottom w:val="none" w:sz="0" w:space="0" w:color="auto"/>
        <w:right w:val="none" w:sz="0" w:space="0" w:color="auto"/>
      </w:divBdr>
    </w:div>
    <w:div w:id="1780905178">
      <w:bodyDiv w:val="1"/>
      <w:marLeft w:val="0"/>
      <w:marRight w:val="0"/>
      <w:marTop w:val="0"/>
      <w:marBottom w:val="0"/>
      <w:divBdr>
        <w:top w:val="none" w:sz="0" w:space="0" w:color="auto"/>
        <w:left w:val="none" w:sz="0" w:space="0" w:color="auto"/>
        <w:bottom w:val="none" w:sz="0" w:space="0" w:color="auto"/>
        <w:right w:val="none" w:sz="0" w:space="0" w:color="auto"/>
      </w:divBdr>
    </w:div>
    <w:div w:id="1787849972">
      <w:bodyDiv w:val="1"/>
      <w:marLeft w:val="0"/>
      <w:marRight w:val="0"/>
      <w:marTop w:val="0"/>
      <w:marBottom w:val="0"/>
      <w:divBdr>
        <w:top w:val="none" w:sz="0" w:space="0" w:color="auto"/>
        <w:left w:val="none" w:sz="0" w:space="0" w:color="auto"/>
        <w:bottom w:val="none" w:sz="0" w:space="0" w:color="auto"/>
        <w:right w:val="none" w:sz="0" w:space="0" w:color="auto"/>
      </w:divBdr>
    </w:div>
    <w:div w:id="1806506787">
      <w:bodyDiv w:val="1"/>
      <w:marLeft w:val="0"/>
      <w:marRight w:val="0"/>
      <w:marTop w:val="0"/>
      <w:marBottom w:val="0"/>
      <w:divBdr>
        <w:top w:val="none" w:sz="0" w:space="0" w:color="auto"/>
        <w:left w:val="none" w:sz="0" w:space="0" w:color="auto"/>
        <w:bottom w:val="none" w:sz="0" w:space="0" w:color="auto"/>
        <w:right w:val="none" w:sz="0" w:space="0" w:color="auto"/>
      </w:divBdr>
    </w:div>
    <w:div w:id="1807821553">
      <w:bodyDiv w:val="1"/>
      <w:marLeft w:val="0"/>
      <w:marRight w:val="0"/>
      <w:marTop w:val="0"/>
      <w:marBottom w:val="0"/>
      <w:divBdr>
        <w:top w:val="none" w:sz="0" w:space="0" w:color="auto"/>
        <w:left w:val="none" w:sz="0" w:space="0" w:color="auto"/>
        <w:bottom w:val="none" w:sz="0" w:space="0" w:color="auto"/>
        <w:right w:val="none" w:sz="0" w:space="0" w:color="auto"/>
      </w:divBdr>
    </w:div>
    <w:div w:id="1813282446">
      <w:bodyDiv w:val="1"/>
      <w:marLeft w:val="0"/>
      <w:marRight w:val="0"/>
      <w:marTop w:val="0"/>
      <w:marBottom w:val="0"/>
      <w:divBdr>
        <w:top w:val="none" w:sz="0" w:space="0" w:color="auto"/>
        <w:left w:val="none" w:sz="0" w:space="0" w:color="auto"/>
        <w:bottom w:val="none" w:sz="0" w:space="0" w:color="auto"/>
        <w:right w:val="none" w:sz="0" w:space="0" w:color="auto"/>
      </w:divBdr>
    </w:div>
    <w:div w:id="1814517148">
      <w:bodyDiv w:val="1"/>
      <w:marLeft w:val="0"/>
      <w:marRight w:val="0"/>
      <w:marTop w:val="0"/>
      <w:marBottom w:val="0"/>
      <w:divBdr>
        <w:top w:val="none" w:sz="0" w:space="0" w:color="auto"/>
        <w:left w:val="none" w:sz="0" w:space="0" w:color="auto"/>
        <w:bottom w:val="none" w:sz="0" w:space="0" w:color="auto"/>
        <w:right w:val="none" w:sz="0" w:space="0" w:color="auto"/>
      </w:divBdr>
    </w:div>
    <w:div w:id="1824464370">
      <w:bodyDiv w:val="1"/>
      <w:marLeft w:val="0"/>
      <w:marRight w:val="0"/>
      <w:marTop w:val="0"/>
      <w:marBottom w:val="0"/>
      <w:divBdr>
        <w:top w:val="none" w:sz="0" w:space="0" w:color="auto"/>
        <w:left w:val="none" w:sz="0" w:space="0" w:color="auto"/>
        <w:bottom w:val="none" w:sz="0" w:space="0" w:color="auto"/>
        <w:right w:val="none" w:sz="0" w:space="0" w:color="auto"/>
      </w:divBdr>
    </w:div>
    <w:div w:id="1824538872">
      <w:bodyDiv w:val="1"/>
      <w:marLeft w:val="0"/>
      <w:marRight w:val="0"/>
      <w:marTop w:val="0"/>
      <w:marBottom w:val="0"/>
      <w:divBdr>
        <w:top w:val="none" w:sz="0" w:space="0" w:color="auto"/>
        <w:left w:val="none" w:sz="0" w:space="0" w:color="auto"/>
        <w:bottom w:val="none" w:sz="0" w:space="0" w:color="auto"/>
        <w:right w:val="none" w:sz="0" w:space="0" w:color="auto"/>
      </w:divBdr>
    </w:div>
    <w:div w:id="1826242310">
      <w:bodyDiv w:val="1"/>
      <w:marLeft w:val="0"/>
      <w:marRight w:val="0"/>
      <w:marTop w:val="0"/>
      <w:marBottom w:val="0"/>
      <w:divBdr>
        <w:top w:val="none" w:sz="0" w:space="0" w:color="auto"/>
        <w:left w:val="none" w:sz="0" w:space="0" w:color="auto"/>
        <w:bottom w:val="none" w:sz="0" w:space="0" w:color="auto"/>
        <w:right w:val="none" w:sz="0" w:space="0" w:color="auto"/>
      </w:divBdr>
    </w:div>
    <w:div w:id="1827042428">
      <w:bodyDiv w:val="1"/>
      <w:marLeft w:val="0"/>
      <w:marRight w:val="0"/>
      <w:marTop w:val="0"/>
      <w:marBottom w:val="0"/>
      <w:divBdr>
        <w:top w:val="none" w:sz="0" w:space="0" w:color="auto"/>
        <w:left w:val="none" w:sz="0" w:space="0" w:color="auto"/>
        <w:bottom w:val="none" w:sz="0" w:space="0" w:color="auto"/>
        <w:right w:val="none" w:sz="0" w:space="0" w:color="auto"/>
      </w:divBdr>
    </w:div>
    <w:div w:id="1835992023">
      <w:bodyDiv w:val="1"/>
      <w:marLeft w:val="0"/>
      <w:marRight w:val="0"/>
      <w:marTop w:val="0"/>
      <w:marBottom w:val="0"/>
      <w:divBdr>
        <w:top w:val="none" w:sz="0" w:space="0" w:color="auto"/>
        <w:left w:val="none" w:sz="0" w:space="0" w:color="auto"/>
        <w:bottom w:val="none" w:sz="0" w:space="0" w:color="auto"/>
        <w:right w:val="none" w:sz="0" w:space="0" w:color="auto"/>
      </w:divBdr>
    </w:div>
    <w:div w:id="1838569680">
      <w:bodyDiv w:val="1"/>
      <w:marLeft w:val="0"/>
      <w:marRight w:val="0"/>
      <w:marTop w:val="0"/>
      <w:marBottom w:val="0"/>
      <w:divBdr>
        <w:top w:val="none" w:sz="0" w:space="0" w:color="auto"/>
        <w:left w:val="none" w:sz="0" w:space="0" w:color="auto"/>
        <w:bottom w:val="none" w:sz="0" w:space="0" w:color="auto"/>
        <w:right w:val="none" w:sz="0" w:space="0" w:color="auto"/>
      </w:divBdr>
    </w:div>
    <w:div w:id="1845902634">
      <w:bodyDiv w:val="1"/>
      <w:marLeft w:val="0"/>
      <w:marRight w:val="0"/>
      <w:marTop w:val="0"/>
      <w:marBottom w:val="0"/>
      <w:divBdr>
        <w:top w:val="none" w:sz="0" w:space="0" w:color="auto"/>
        <w:left w:val="none" w:sz="0" w:space="0" w:color="auto"/>
        <w:bottom w:val="none" w:sz="0" w:space="0" w:color="auto"/>
        <w:right w:val="none" w:sz="0" w:space="0" w:color="auto"/>
      </w:divBdr>
    </w:div>
    <w:div w:id="1848254245">
      <w:bodyDiv w:val="1"/>
      <w:marLeft w:val="0"/>
      <w:marRight w:val="0"/>
      <w:marTop w:val="0"/>
      <w:marBottom w:val="0"/>
      <w:divBdr>
        <w:top w:val="none" w:sz="0" w:space="0" w:color="auto"/>
        <w:left w:val="none" w:sz="0" w:space="0" w:color="auto"/>
        <w:bottom w:val="none" w:sz="0" w:space="0" w:color="auto"/>
        <w:right w:val="none" w:sz="0" w:space="0" w:color="auto"/>
      </w:divBdr>
    </w:div>
    <w:div w:id="1934774907">
      <w:bodyDiv w:val="1"/>
      <w:marLeft w:val="0"/>
      <w:marRight w:val="0"/>
      <w:marTop w:val="0"/>
      <w:marBottom w:val="0"/>
      <w:divBdr>
        <w:top w:val="none" w:sz="0" w:space="0" w:color="auto"/>
        <w:left w:val="none" w:sz="0" w:space="0" w:color="auto"/>
        <w:bottom w:val="none" w:sz="0" w:space="0" w:color="auto"/>
        <w:right w:val="none" w:sz="0" w:space="0" w:color="auto"/>
      </w:divBdr>
    </w:div>
    <w:div w:id="1953125916">
      <w:bodyDiv w:val="1"/>
      <w:marLeft w:val="0"/>
      <w:marRight w:val="0"/>
      <w:marTop w:val="0"/>
      <w:marBottom w:val="0"/>
      <w:divBdr>
        <w:top w:val="none" w:sz="0" w:space="0" w:color="auto"/>
        <w:left w:val="none" w:sz="0" w:space="0" w:color="auto"/>
        <w:bottom w:val="none" w:sz="0" w:space="0" w:color="auto"/>
        <w:right w:val="none" w:sz="0" w:space="0" w:color="auto"/>
      </w:divBdr>
    </w:div>
    <w:div w:id="1956253220">
      <w:bodyDiv w:val="1"/>
      <w:marLeft w:val="0"/>
      <w:marRight w:val="0"/>
      <w:marTop w:val="0"/>
      <w:marBottom w:val="0"/>
      <w:divBdr>
        <w:top w:val="none" w:sz="0" w:space="0" w:color="auto"/>
        <w:left w:val="none" w:sz="0" w:space="0" w:color="auto"/>
        <w:bottom w:val="none" w:sz="0" w:space="0" w:color="auto"/>
        <w:right w:val="none" w:sz="0" w:space="0" w:color="auto"/>
      </w:divBdr>
    </w:div>
    <w:div w:id="1972124678">
      <w:bodyDiv w:val="1"/>
      <w:marLeft w:val="0"/>
      <w:marRight w:val="0"/>
      <w:marTop w:val="0"/>
      <w:marBottom w:val="0"/>
      <w:divBdr>
        <w:top w:val="none" w:sz="0" w:space="0" w:color="auto"/>
        <w:left w:val="none" w:sz="0" w:space="0" w:color="auto"/>
        <w:bottom w:val="none" w:sz="0" w:space="0" w:color="auto"/>
        <w:right w:val="none" w:sz="0" w:space="0" w:color="auto"/>
      </w:divBdr>
    </w:div>
    <w:div w:id="1990594900">
      <w:bodyDiv w:val="1"/>
      <w:marLeft w:val="0"/>
      <w:marRight w:val="0"/>
      <w:marTop w:val="0"/>
      <w:marBottom w:val="0"/>
      <w:divBdr>
        <w:top w:val="none" w:sz="0" w:space="0" w:color="auto"/>
        <w:left w:val="none" w:sz="0" w:space="0" w:color="auto"/>
        <w:bottom w:val="none" w:sz="0" w:space="0" w:color="auto"/>
        <w:right w:val="none" w:sz="0" w:space="0" w:color="auto"/>
      </w:divBdr>
    </w:div>
    <w:div w:id="2052461464">
      <w:bodyDiv w:val="1"/>
      <w:marLeft w:val="0"/>
      <w:marRight w:val="0"/>
      <w:marTop w:val="0"/>
      <w:marBottom w:val="0"/>
      <w:divBdr>
        <w:top w:val="none" w:sz="0" w:space="0" w:color="auto"/>
        <w:left w:val="none" w:sz="0" w:space="0" w:color="auto"/>
        <w:bottom w:val="none" w:sz="0" w:space="0" w:color="auto"/>
        <w:right w:val="none" w:sz="0" w:space="0" w:color="auto"/>
      </w:divBdr>
    </w:div>
    <w:div w:id="2073041336">
      <w:bodyDiv w:val="1"/>
      <w:marLeft w:val="0"/>
      <w:marRight w:val="0"/>
      <w:marTop w:val="0"/>
      <w:marBottom w:val="0"/>
      <w:divBdr>
        <w:top w:val="none" w:sz="0" w:space="0" w:color="auto"/>
        <w:left w:val="none" w:sz="0" w:space="0" w:color="auto"/>
        <w:bottom w:val="none" w:sz="0" w:space="0" w:color="auto"/>
        <w:right w:val="none" w:sz="0" w:space="0" w:color="auto"/>
      </w:divBdr>
    </w:div>
    <w:div w:id="2075200400">
      <w:bodyDiv w:val="1"/>
      <w:marLeft w:val="0"/>
      <w:marRight w:val="0"/>
      <w:marTop w:val="0"/>
      <w:marBottom w:val="0"/>
      <w:divBdr>
        <w:top w:val="none" w:sz="0" w:space="0" w:color="auto"/>
        <w:left w:val="none" w:sz="0" w:space="0" w:color="auto"/>
        <w:bottom w:val="none" w:sz="0" w:space="0" w:color="auto"/>
        <w:right w:val="none" w:sz="0" w:space="0" w:color="auto"/>
      </w:divBdr>
    </w:div>
    <w:div w:id="2075227995">
      <w:bodyDiv w:val="1"/>
      <w:marLeft w:val="0"/>
      <w:marRight w:val="0"/>
      <w:marTop w:val="0"/>
      <w:marBottom w:val="0"/>
      <w:divBdr>
        <w:top w:val="none" w:sz="0" w:space="0" w:color="auto"/>
        <w:left w:val="none" w:sz="0" w:space="0" w:color="auto"/>
        <w:bottom w:val="none" w:sz="0" w:space="0" w:color="auto"/>
        <w:right w:val="none" w:sz="0" w:space="0" w:color="auto"/>
      </w:divBdr>
    </w:div>
    <w:div w:id="2075422341">
      <w:bodyDiv w:val="1"/>
      <w:marLeft w:val="0"/>
      <w:marRight w:val="0"/>
      <w:marTop w:val="0"/>
      <w:marBottom w:val="0"/>
      <w:divBdr>
        <w:top w:val="none" w:sz="0" w:space="0" w:color="auto"/>
        <w:left w:val="none" w:sz="0" w:space="0" w:color="auto"/>
        <w:bottom w:val="none" w:sz="0" w:space="0" w:color="auto"/>
        <w:right w:val="none" w:sz="0" w:space="0" w:color="auto"/>
      </w:divBdr>
    </w:div>
    <w:div w:id="2081368722">
      <w:bodyDiv w:val="1"/>
      <w:marLeft w:val="0"/>
      <w:marRight w:val="0"/>
      <w:marTop w:val="0"/>
      <w:marBottom w:val="0"/>
      <w:divBdr>
        <w:top w:val="none" w:sz="0" w:space="0" w:color="auto"/>
        <w:left w:val="none" w:sz="0" w:space="0" w:color="auto"/>
        <w:bottom w:val="none" w:sz="0" w:space="0" w:color="auto"/>
        <w:right w:val="none" w:sz="0" w:space="0" w:color="auto"/>
      </w:divBdr>
      <w:divsChild>
        <w:div w:id="1500194682">
          <w:marLeft w:val="0"/>
          <w:marRight w:val="0"/>
          <w:marTop w:val="0"/>
          <w:marBottom w:val="525"/>
          <w:divBdr>
            <w:top w:val="none" w:sz="0" w:space="0" w:color="auto"/>
            <w:left w:val="none" w:sz="0" w:space="0" w:color="auto"/>
            <w:bottom w:val="none" w:sz="0" w:space="0" w:color="auto"/>
            <w:right w:val="none" w:sz="0" w:space="0" w:color="auto"/>
          </w:divBdr>
          <w:divsChild>
            <w:div w:id="214660637">
              <w:marLeft w:val="0"/>
              <w:marRight w:val="0"/>
              <w:marTop w:val="0"/>
              <w:marBottom w:val="0"/>
              <w:divBdr>
                <w:top w:val="single" w:sz="6" w:space="15" w:color="E4E4E5"/>
                <w:left w:val="single" w:sz="6" w:space="15" w:color="E4E4E5"/>
                <w:bottom w:val="single" w:sz="6" w:space="15" w:color="E4E4E5"/>
                <w:right w:val="single" w:sz="6" w:space="15" w:color="E4E4E5"/>
              </w:divBdr>
              <w:divsChild>
                <w:div w:id="467823610">
                  <w:marLeft w:val="0"/>
                  <w:marRight w:val="0"/>
                  <w:marTop w:val="0"/>
                  <w:marBottom w:val="0"/>
                  <w:divBdr>
                    <w:top w:val="none" w:sz="0" w:space="0" w:color="auto"/>
                    <w:left w:val="none" w:sz="0" w:space="0" w:color="auto"/>
                    <w:bottom w:val="none" w:sz="0" w:space="0" w:color="auto"/>
                    <w:right w:val="none" w:sz="0" w:space="0" w:color="auto"/>
                  </w:divBdr>
                  <w:divsChild>
                    <w:div w:id="761687875">
                      <w:marLeft w:val="0"/>
                      <w:marRight w:val="0"/>
                      <w:marTop w:val="0"/>
                      <w:marBottom w:val="0"/>
                      <w:divBdr>
                        <w:top w:val="none" w:sz="0" w:space="0" w:color="auto"/>
                        <w:left w:val="none" w:sz="0" w:space="0" w:color="auto"/>
                        <w:bottom w:val="none" w:sz="0" w:space="0" w:color="auto"/>
                        <w:right w:val="none" w:sz="0" w:space="0" w:color="auto"/>
                      </w:divBdr>
                    </w:div>
                    <w:div w:id="240258284">
                      <w:marLeft w:val="0"/>
                      <w:marRight w:val="0"/>
                      <w:marTop w:val="0"/>
                      <w:marBottom w:val="0"/>
                      <w:divBdr>
                        <w:top w:val="none" w:sz="0" w:space="0" w:color="auto"/>
                        <w:left w:val="none" w:sz="0" w:space="0" w:color="auto"/>
                        <w:bottom w:val="none" w:sz="0" w:space="0" w:color="auto"/>
                        <w:right w:val="none" w:sz="0" w:space="0" w:color="auto"/>
                      </w:divBdr>
                    </w:div>
                    <w:div w:id="1301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5259">
      <w:bodyDiv w:val="1"/>
      <w:marLeft w:val="0"/>
      <w:marRight w:val="0"/>
      <w:marTop w:val="0"/>
      <w:marBottom w:val="0"/>
      <w:divBdr>
        <w:top w:val="none" w:sz="0" w:space="0" w:color="auto"/>
        <w:left w:val="none" w:sz="0" w:space="0" w:color="auto"/>
        <w:bottom w:val="none" w:sz="0" w:space="0" w:color="auto"/>
        <w:right w:val="none" w:sz="0" w:space="0" w:color="auto"/>
      </w:divBdr>
    </w:div>
    <w:div w:id="21046402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342">
          <w:marLeft w:val="0"/>
          <w:marRight w:val="0"/>
          <w:marTop w:val="0"/>
          <w:marBottom w:val="525"/>
          <w:divBdr>
            <w:top w:val="none" w:sz="0" w:space="0" w:color="auto"/>
            <w:left w:val="none" w:sz="0" w:space="0" w:color="auto"/>
            <w:bottom w:val="none" w:sz="0" w:space="0" w:color="auto"/>
            <w:right w:val="none" w:sz="0" w:space="0" w:color="auto"/>
          </w:divBdr>
          <w:divsChild>
            <w:div w:id="1979919605">
              <w:marLeft w:val="0"/>
              <w:marRight w:val="0"/>
              <w:marTop w:val="0"/>
              <w:marBottom w:val="0"/>
              <w:divBdr>
                <w:top w:val="single" w:sz="6" w:space="15" w:color="E4E4E5"/>
                <w:left w:val="single" w:sz="6" w:space="15" w:color="E4E4E5"/>
                <w:bottom w:val="single" w:sz="6" w:space="15" w:color="E4E4E5"/>
                <w:right w:val="single" w:sz="6" w:space="15" w:color="E4E4E5"/>
              </w:divBdr>
              <w:divsChild>
                <w:div w:id="294651163">
                  <w:marLeft w:val="0"/>
                  <w:marRight w:val="0"/>
                  <w:marTop w:val="0"/>
                  <w:marBottom w:val="0"/>
                  <w:divBdr>
                    <w:top w:val="none" w:sz="0" w:space="0" w:color="auto"/>
                    <w:left w:val="none" w:sz="0" w:space="0" w:color="auto"/>
                    <w:bottom w:val="none" w:sz="0" w:space="0" w:color="auto"/>
                    <w:right w:val="none" w:sz="0" w:space="0" w:color="auto"/>
                  </w:divBdr>
                  <w:divsChild>
                    <w:div w:id="873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6663">
      <w:bodyDiv w:val="1"/>
      <w:marLeft w:val="0"/>
      <w:marRight w:val="0"/>
      <w:marTop w:val="0"/>
      <w:marBottom w:val="0"/>
      <w:divBdr>
        <w:top w:val="none" w:sz="0" w:space="0" w:color="auto"/>
        <w:left w:val="none" w:sz="0" w:space="0" w:color="auto"/>
        <w:bottom w:val="none" w:sz="0" w:space="0" w:color="auto"/>
        <w:right w:val="none" w:sz="0" w:space="0" w:color="auto"/>
      </w:divBdr>
    </w:div>
    <w:div w:id="2134011824">
      <w:bodyDiv w:val="1"/>
      <w:marLeft w:val="0"/>
      <w:marRight w:val="0"/>
      <w:marTop w:val="0"/>
      <w:marBottom w:val="0"/>
      <w:divBdr>
        <w:top w:val="none" w:sz="0" w:space="0" w:color="auto"/>
        <w:left w:val="none" w:sz="0" w:space="0" w:color="auto"/>
        <w:bottom w:val="none" w:sz="0" w:space="0" w:color="auto"/>
        <w:right w:val="none" w:sz="0" w:space="0" w:color="auto"/>
      </w:divBdr>
    </w:div>
    <w:div w:id="21425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A01F1479618478D3D600611A83078" ma:contentTypeVersion="4" ma:contentTypeDescription="Crée un document." ma:contentTypeScope="" ma:versionID="7f0ec9ce87bfa3b14d6c32580925f318">
  <xsd:schema xmlns:xsd="http://www.w3.org/2001/XMLSchema" xmlns:xs="http://www.w3.org/2001/XMLSchema" xmlns:p="http://schemas.microsoft.com/office/2006/metadata/properties" xmlns:ns1="http://schemas.microsoft.com/sharepoint/v3" xmlns:ns2="$ListId:Livrables;" xmlns:ns3="4acf63bf-7887-43aa-b81e-5a1f4200f6e2" targetNamespace="http://schemas.microsoft.com/office/2006/metadata/properties" ma:root="true" ma:fieldsID="a77412ff7fc262926605a242320ff675" ns1:_="" ns2:_="" ns3:_="">
    <xsd:import namespace="http://schemas.microsoft.com/sharepoint/v3"/>
    <xsd:import namespace="$ListId:Livrables;"/>
    <xsd:import namespace="4acf63bf-7887-43aa-b81e-5a1f4200f6e2"/>
    <xsd:element name="properties">
      <xsd:complexType>
        <xsd:sequence>
          <xsd:element name="documentManagement">
            <xsd:complexType>
              <xsd:all>
                <xsd:element ref="ns2:Phases"/>
                <xsd:element ref="ns2:Lib_x00e9_l_x00e9_" minOccurs="0"/>
                <xsd:element ref="ns2:Date"/>
                <xsd:element ref="ns2:Statut" minOccurs="0"/>
                <xsd:element ref="ns2:Chambre_x0020_d_x0027_enregistrement" minOccurs="0"/>
                <xsd:element ref="ns2:Date_x0020_d_x0027_enregistrement" minOccurs="0"/>
                <xsd:element ref="ns2:Lien_x0020_enregistrement" minOccurs="0"/>
                <xsd:element ref="ns2:Lien_x0020_validation_x0020_2" minOccurs="0"/>
                <xsd:element ref="ns1:BDFComments" minOccurs="0"/>
                <xsd:element ref="ns3:_dlc_DocIdPersistId" minOccurs="0"/>
                <xsd:element ref="ns3:_dlc_Doc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DFComments" ma:index="10" nillable="true" ma:displayName="Commentaires" ma:internalName="BDF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Livrables;" elementFormDefault="qualified">
    <xsd:import namespace="http://schemas.microsoft.com/office/2006/documentManagement/types"/>
    <xsd:import namespace="http://schemas.microsoft.com/office/infopath/2007/PartnerControls"/>
    <xsd:element name="Phases" ma:index="2" ma:displayName="Phases" ma:format="Dropdown" ma:internalName="Phases">
      <xsd:simpleType>
        <xsd:restriction base="dms:Choice">
          <xsd:enumeration value="10_Lancement"/>
          <xsd:enumeration value="20_Étude préalable"/>
          <xsd:enumeration value="30_Conception d'ensemble"/>
          <xsd:enumeration value="40_Spécifications fonctionelles"/>
          <xsd:enumeration value="50_Recettes et support certification"/>
          <xsd:enumeration value="60_Préparation de la mise en oeuvre"/>
          <xsd:enumeration value="70_Mise en production"/>
          <xsd:enumeration value="80_Évaluation"/>
        </xsd:restriction>
      </xsd:simpleType>
    </xsd:element>
    <xsd:element name="Lib_x00e9_l_x00e9_" ma:index="3" nillable="true" ma:displayName="Libellé" ma:format="Dropdown" ma:internalName="Lib_x00e9_l_x00e9_">
      <xsd:simpleType>
        <xsd:restriction base="dms:Choice">
          <xsd:enumeration value="11_Note de lancement"/>
          <xsd:enumeration value="12_Business Case"/>
          <xsd:enumeration value="21_Plan Projet"/>
          <xsd:enumeration value="211_Plan_de_maintenance"/>
          <xsd:enumeration value="22_Cahier des charges"/>
          <xsd:enumeration value="23_Dossier de choix de solution"/>
          <xsd:enumeration value="233_Gestion des exigences"/>
          <xsd:enumeration value="235_Gestion de configuration"/>
          <xsd:enumeration value="24_Planning Initial"/>
          <xsd:enumeration value="25_Chiffrage"/>
          <xsd:enumeration value="26_Étude de risques"/>
          <xsd:enumeration value="31_Dossier de conception"/>
          <xsd:enumeration value="32_Stratégie de recette"/>
          <xsd:enumeration value="41_Spécifications"/>
          <xsd:enumeration value="42_Plan de tests"/>
          <xsd:enumeration value="43_Cahier de recette"/>
          <xsd:enumeration value="51_IQS RFU"/>
          <xsd:enumeration value="52_IQS RIG"/>
          <xsd:enumeration value="521_IQS CERTIF"/>
          <xsd:enumeration value="53_PV RFU"/>
          <xsd:enumeration value="54_PV RIT"/>
          <xsd:enumeration value="55_PV RIG"/>
          <xsd:enumeration value="57_PV CERTIF"/>
          <xsd:enumeration value="61_FOC"/>
          <xsd:enumeration value="62_Release Note"/>
          <xsd:enumeration value="63_Manuel Utilisateurs"/>
          <xsd:enumeration value="64_Fiche de risque"/>
          <xsd:enumeration value="65_PPSA"/>
          <xsd:enumeration value="66_PLS"/>
          <xsd:enumeration value="71_Engagement de service"/>
          <xsd:enumeration value="81_Bilan de projet"/>
        </xsd:restriction>
      </xsd:simpleType>
    </xsd:element>
    <xsd:element name="Date" ma:index="4" ma:displayName="Date Modification" ma:default="[today]" ma:format="DateOnly" ma:internalName="Date">
      <xsd:simpleType>
        <xsd:restriction base="dms:DateTime"/>
      </xsd:simpleType>
    </xsd:element>
    <xsd:element name="Statut" ma:index="5" nillable="true" ma:displayName="Statut" ma:default="En cours" ma:format="RadioButtons" ma:internalName="Statut">
      <xsd:simpleType>
        <xsd:restriction base="dms:Choice">
          <xsd:enumeration value="En cours"/>
          <xsd:enumeration value="Terminé"/>
          <xsd:enumeration value="Terminé hors Livrable"/>
          <xsd:enumeration value="Validé"/>
        </xsd:restriction>
      </xsd:simpleType>
    </xsd:element>
    <xsd:element name="Chambre_x0020_d_x0027_enregistrement" ma:index="6" nillable="true" ma:displayName="Validation" ma:description="Chambre d'enregistrement" ma:internalName="Chambre_x0020_d_x0027_enregistrement">
      <xsd:complexType>
        <xsd:complexContent>
          <xsd:extension base="dms:MultiChoice">
            <xsd:sequence>
              <xsd:element name="Value" maxOccurs="unbounded" minOccurs="0" nillable="true">
                <xsd:simpleType>
                  <xsd:restriction base="dms:Choice">
                    <xsd:enumeration value="CP"/>
                    <xsd:enumeration value="CTI"/>
                    <xsd:enumeration value="CSP"/>
                    <xsd:enumeration value="Mail"/>
                  </xsd:restriction>
                </xsd:simpleType>
              </xsd:element>
            </xsd:sequence>
          </xsd:extension>
        </xsd:complexContent>
      </xsd:complexType>
    </xsd:element>
    <xsd:element name="Date_x0020_d_x0027_enregistrement" ma:index="7" nillable="true" ma:displayName="Date Validation" ma:format="DateOnly" ma:internalName="Date_x0020_d_x0027_enregistrement">
      <xsd:simpleType>
        <xsd:restriction base="dms:DateTime"/>
      </xsd:simpleType>
    </xsd:element>
    <xsd:element name="Lien_x0020_enregistrement" ma:index="8" nillable="true" ma:displayName="Lien Validation" ma:format="Hyperlink" ma:internalName="Lien_x0020_enregistrement">
      <xsd:complexType>
        <xsd:complexContent>
          <xsd:extension base="dms:URL">
            <xsd:sequence>
              <xsd:element name="Url" type="dms:ValidUrl" minOccurs="0" nillable="true"/>
              <xsd:element name="Description" type="xsd:string" nillable="true"/>
            </xsd:sequence>
          </xsd:extension>
        </xsd:complexContent>
      </xsd:complexType>
    </xsd:element>
    <xsd:element name="Lien_x0020_validation_x0020_2" ma:index="9" nillable="true" ma:displayName="Lien validation 2" ma:format="Hyperlink" ma:internalName="Lien_x0020_validation_x0020_2">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f63bf-7887-43aa-b81e-5a1f4200f6e2" elementFormDefault="qualified">
    <xsd:import namespace="http://schemas.microsoft.com/office/2006/documentManagement/types"/>
    <xsd:import namespace="http://schemas.microsoft.com/office/infopath/2007/PartnerControls"/>
    <xsd:element name="_dlc_DocIdPersistId" ma:index="11" nillable="true" ma:displayName="Conserver l’ID" ma:description="Conserver l’ID lors de l’ajout." ma:hidden="true" ma:internalName="_dlc_DocIdPersistId" ma:readOnly="true">
      <xsd:simpleType>
        <xsd:restriction base="dms:Boolean"/>
      </xsd:simpleType>
    </xsd:element>
    <xsd:element name="_dlc_DocId" ma:index="15" nillable="true" ma:displayName="Valeur d’ID de document" ma:description="Valeur de l’ID de document affecté à cet élément." ma:internalName="_dlc_DocId" ma:readOnly="true">
      <xsd:simpleType>
        <xsd:restriction base="dms:Text"/>
      </xsd:simpleType>
    </xsd:element>
    <xsd:element name="_dlc_DocIdUrl" ma:index="1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acf63bf-7887-43aa-b81e-5a1f4200f6e2">Y577QEN2KPWZ-80-11576</_dlc_DocId>
    <_dlc_DocIdUrl xmlns="4acf63bf-7887-43aa-b81e-5a1f4200f6e2">
      <Url>https://d03/sites/wpact00/oscamps/_layouts/15/DocIdRedir.aspx?ID=Y577QEN2KPWZ-80-11576</Url>
      <Description>Y577QEN2KPWZ-80-11576</Description>
    </_dlc_DocIdUrl>
    <Date_x0020_d_x0027_enregistrement xmlns="$ListId:Livrables;" xsi:nil="true"/>
    <Phases xmlns="$ListId:Livrables;">40_Spécifications fonctionelles</Phases>
    <Lien_x0020_validation_x0020_2 xmlns="$ListId:Livrables;">
      <Url xsi:nil="true"/>
      <Description xsi:nil="true"/>
    </Lien_x0020_validation_x0020_2>
    <Lib_x00e9_l_x00e9_ xmlns="$ListId:Livrables;">41_Spécifications</Lib_x00e9_l_x00e9_>
    <Lien_x0020_enregistrement xmlns="$ListId:Livrables;">
      <Url xsi:nil="true"/>
      <Description xsi:nil="true"/>
    </Lien_x0020_enregistrement>
    <Date xmlns="$ListId:Livrables;">2020-08-13T22:00:00+00:00</Date>
    <Statut xmlns="$ListId:Livrables;">En cours</Statut>
    <Chambre_x0020_d_x0027_enregistrement xmlns="$ListId:Livrables;"/>
    <BDFComments xmlns="http://schemas.microsoft.com/sharepoint/v3">SFG TSPD - CESU
</BDFComment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781A-E53B-44AB-84A3-528B5B544F1C}">
  <ds:schemaRefs>
    <ds:schemaRef ds:uri="http://schemas.microsoft.com/sharepoint/events"/>
  </ds:schemaRefs>
</ds:datastoreItem>
</file>

<file path=customXml/itemProps2.xml><?xml version="1.0" encoding="utf-8"?>
<ds:datastoreItem xmlns:ds="http://schemas.openxmlformats.org/officeDocument/2006/customXml" ds:itemID="{5D80E850-E6C2-4F1F-A89C-B6B7B35DEEE3}">
  <ds:schemaRefs>
    <ds:schemaRef ds:uri="http://schemas.microsoft.com/sharepoint/v3/contenttype/forms"/>
  </ds:schemaRefs>
</ds:datastoreItem>
</file>

<file path=customXml/itemProps3.xml><?xml version="1.0" encoding="utf-8"?>
<ds:datastoreItem xmlns:ds="http://schemas.openxmlformats.org/officeDocument/2006/customXml" ds:itemID="{E4491F25-A560-4E16-B9EF-F6169B9D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Livrables;"/>
    <ds:schemaRef ds:uri="4acf63bf-7887-43aa-b81e-5a1f4200f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C1764-3A99-4C96-B228-5AE65A19CC45}">
  <ds:schemaRefs>
    <ds:schemaRef ds:uri="4acf63bf-7887-43aa-b81e-5a1f4200f6e2"/>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purl.org/dc/terms/"/>
    <ds:schemaRef ds:uri="http://www.w3.org/XML/1998/namespace"/>
    <ds:schemaRef ds:uri="http://schemas.openxmlformats.org/package/2006/metadata/core-properties"/>
    <ds:schemaRef ds:uri="$ListId:Livrables;"/>
  </ds:schemaRefs>
</ds:datastoreItem>
</file>

<file path=customXml/itemProps5.xml><?xml version="1.0" encoding="utf-8"?>
<ds:datastoreItem xmlns:ds="http://schemas.openxmlformats.org/officeDocument/2006/customXml" ds:itemID="{E2016A84-680F-40D3-AAAE-CB304EAD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7</Pages>
  <Words>6777</Words>
  <Characters>37276</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SFG-TSPD-CESU</vt:lpstr>
    </vt:vector>
  </TitlesOfParts>
  <Company>Banque de France</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SFG-TSPD-CESU</dc:title>
  <dc:creator>Marc HADJEJE</dc:creator>
  <cp:lastModifiedBy>BASSETO Olivier</cp:lastModifiedBy>
  <cp:revision>19</cp:revision>
  <cp:lastPrinted>2023-01-18T15:12:00Z</cp:lastPrinted>
  <dcterms:created xsi:type="dcterms:W3CDTF">2023-01-18T14:18:00Z</dcterms:created>
  <dcterms:modified xsi:type="dcterms:W3CDTF">2026-03-24T15:03:00Z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2ddc4bb6-2ca6-430a-b286-da952d1003ab</vt:lpwstr>
  </property>
  <property fmtid="{D5CDD505-2E9C-101B-9397-08002B2CF9AE}" pid="3" name="ContentTypeId">
    <vt:lpwstr>0x010100992A01F1479618478D3D600611A83078</vt:lpwstr>
  </property>
</Properties>
</file>